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43CC" w14:textId="521F115E" w:rsidR="008F7BE2" w:rsidRDefault="006C4748" w:rsidP="000D5B79">
      <w:pPr>
        <w:jc w:val="center"/>
        <w:rPr>
          <w:rFonts w:ascii="Times New Roman" w:hAnsi="Times New Roman" w:cs="Times New Roman"/>
          <w:b/>
          <w:bCs/>
          <w:sz w:val="24"/>
          <w:szCs w:val="24"/>
          <w:lang w:eastAsia="en-US"/>
        </w:rPr>
      </w:pPr>
      <w:r w:rsidRPr="003107A4">
        <w:rPr>
          <w:rFonts w:ascii="Times New Roman" w:hAnsi="Times New Roman" w:cs="Times New Roman"/>
          <w:b/>
          <w:bCs/>
          <w:sz w:val="24"/>
          <w:szCs w:val="24"/>
          <w:lang w:eastAsia="en-US"/>
        </w:rPr>
        <w:t xml:space="preserve">Commentaires </w:t>
      </w:r>
      <w:r w:rsidR="00C71EB2" w:rsidRPr="003107A4">
        <w:rPr>
          <w:rFonts w:ascii="Times New Roman" w:hAnsi="Times New Roman" w:cs="Times New Roman"/>
          <w:b/>
          <w:bCs/>
          <w:sz w:val="24"/>
          <w:szCs w:val="24"/>
          <w:lang w:eastAsia="en-US"/>
        </w:rPr>
        <w:t>préliminaires à</w:t>
      </w:r>
      <w:r w:rsidRPr="003107A4">
        <w:rPr>
          <w:rFonts w:ascii="Times New Roman" w:hAnsi="Times New Roman" w:cs="Times New Roman"/>
          <w:b/>
          <w:bCs/>
          <w:sz w:val="24"/>
          <w:szCs w:val="24"/>
          <w:lang w:eastAsia="en-US"/>
        </w:rPr>
        <w:t xml:space="preserve"> </w:t>
      </w:r>
      <w:r w:rsidR="00846828">
        <w:rPr>
          <w:rFonts w:ascii="Times New Roman" w:hAnsi="Times New Roman" w:cs="Times New Roman"/>
          <w:b/>
          <w:bCs/>
          <w:sz w:val="24"/>
          <w:szCs w:val="24"/>
          <w:lang w:eastAsia="en-US"/>
        </w:rPr>
        <w:t xml:space="preserve">« </w:t>
      </w:r>
      <w:r w:rsidR="008F7BE2">
        <w:rPr>
          <w:rFonts w:ascii="Times New Roman" w:hAnsi="Times New Roman" w:cs="Times New Roman"/>
          <w:b/>
          <w:bCs/>
          <w:sz w:val="24"/>
          <w:szCs w:val="24"/>
          <w:lang w:eastAsia="en-US"/>
        </w:rPr>
        <w:t xml:space="preserve">La Déclaration de Lomé (28 mai 2011), </w:t>
      </w:r>
    </w:p>
    <w:p w14:paraId="0255B308" w14:textId="388B7D1E" w:rsidR="006C4748" w:rsidRPr="003107A4" w:rsidRDefault="008F7BE2" w:rsidP="000D5B79">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une feuille de route pour la création de la monnaie Eco-Cedeao</w:t>
      </w:r>
      <w:r w:rsidR="00846828">
        <w:rPr>
          <w:rFonts w:ascii="Times New Roman" w:hAnsi="Times New Roman" w:cs="Times New Roman"/>
          <w:b/>
          <w:bCs/>
          <w:sz w:val="24"/>
          <w:szCs w:val="24"/>
          <w:lang w:eastAsia="en-US"/>
        </w:rPr>
        <w:t xml:space="preserve"> »</w:t>
      </w:r>
      <w:r w:rsidR="00467245">
        <w:rPr>
          <w:rStyle w:val="Appelnotedebasdep"/>
          <w:rFonts w:ascii="Times New Roman" w:hAnsi="Times New Roman" w:cs="Times New Roman"/>
          <w:b/>
          <w:bCs/>
          <w:sz w:val="24"/>
          <w:szCs w:val="24"/>
          <w:lang w:eastAsia="en-US"/>
        </w:rPr>
        <w:footnoteReference w:id="1"/>
      </w:r>
    </w:p>
    <w:p w14:paraId="2CE00504" w14:textId="177E4CC0" w:rsidR="00C71EB2" w:rsidRPr="008F7BE2" w:rsidRDefault="008F7BE2" w:rsidP="000D5B79">
      <w:pPr>
        <w:jc w:val="center"/>
        <w:rPr>
          <w:rFonts w:ascii="Times New Roman" w:hAnsi="Times New Roman" w:cs="Times New Roman"/>
          <w:sz w:val="24"/>
          <w:szCs w:val="24"/>
          <w:lang w:eastAsia="en-US"/>
        </w:rPr>
      </w:pPr>
      <w:r w:rsidRPr="008F7BE2">
        <w:rPr>
          <w:rFonts w:ascii="Times New Roman" w:hAnsi="Times New Roman" w:cs="Times New Roman"/>
          <w:sz w:val="24"/>
          <w:szCs w:val="24"/>
          <w:lang w:eastAsia="en-US"/>
        </w:rPr>
        <w:t>Jacques Berthelot (</w:t>
      </w:r>
      <w:hyperlink r:id="rId7" w:history="1">
        <w:r w:rsidRPr="008F7BE2">
          <w:rPr>
            <w:rStyle w:val="Lienhypertexte"/>
            <w:rFonts w:ascii="Times New Roman" w:hAnsi="Times New Roman" w:cs="Times New Roman"/>
            <w:color w:val="auto"/>
            <w:sz w:val="24"/>
            <w:szCs w:val="24"/>
            <w:u w:val="none"/>
            <w:lang w:eastAsia="en-US"/>
          </w:rPr>
          <w:t>jacques.berthelot4@wanadoo.fr</w:t>
        </w:r>
      </w:hyperlink>
      <w:r w:rsidRPr="008F7BE2">
        <w:rPr>
          <w:rFonts w:ascii="Times New Roman" w:hAnsi="Times New Roman" w:cs="Times New Roman"/>
          <w:sz w:val="24"/>
          <w:szCs w:val="24"/>
          <w:lang w:eastAsia="en-US"/>
        </w:rPr>
        <w:t>), le 3 juin 2021</w:t>
      </w:r>
    </w:p>
    <w:p w14:paraId="43B0FBD2" w14:textId="77777777" w:rsidR="00C71EB2" w:rsidRDefault="00C71EB2" w:rsidP="000D5B79">
      <w:pPr>
        <w:rPr>
          <w:rFonts w:ascii="Times New Roman" w:hAnsi="Times New Roman" w:cs="Times New Roman"/>
          <w:sz w:val="24"/>
          <w:szCs w:val="24"/>
          <w:lang w:eastAsia="en-US"/>
        </w:rPr>
      </w:pPr>
    </w:p>
    <w:p w14:paraId="5E650963" w14:textId="6EC0F594" w:rsidR="00741096" w:rsidRDefault="00C71EB2" w:rsidP="000D5B7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Bien que non spécialiste des questions de politique monétaire, je </w:t>
      </w:r>
      <w:r w:rsidR="00CE60E9">
        <w:rPr>
          <w:rFonts w:ascii="Times New Roman" w:hAnsi="Times New Roman" w:cs="Times New Roman"/>
          <w:sz w:val="24"/>
          <w:szCs w:val="24"/>
          <w:lang w:eastAsia="en-US"/>
        </w:rPr>
        <w:t>propose</w:t>
      </w:r>
      <w:r>
        <w:rPr>
          <w:rFonts w:ascii="Times New Roman" w:hAnsi="Times New Roman" w:cs="Times New Roman"/>
          <w:sz w:val="24"/>
          <w:szCs w:val="24"/>
          <w:lang w:eastAsia="en-US"/>
        </w:rPr>
        <w:t xml:space="preserve"> quelques commentaires préliminaires sur la Feuille de route</w:t>
      </w:r>
      <w:r w:rsidR="008F7BE2">
        <w:rPr>
          <w:rFonts w:ascii="Times New Roman" w:hAnsi="Times New Roman" w:cs="Times New Roman"/>
          <w:sz w:val="24"/>
          <w:szCs w:val="24"/>
          <w:lang w:eastAsia="en-US"/>
        </w:rPr>
        <w:t xml:space="preserve"> puisqu'aussi bien Kako Nubukpo sait que </w:t>
      </w:r>
      <w:r w:rsidR="00741096">
        <w:rPr>
          <w:rFonts w:ascii="Times New Roman" w:hAnsi="Times New Roman" w:cs="Times New Roman"/>
          <w:sz w:val="24"/>
          <w:szCs w:val="24"/>
          <w:lang w:eastAsia="en-US"/>
        </w:rPr>
        <w:t xml:space="preserve">cette </w:t>
      </w:r>
      <w:r w:rsidR="008F7BE2">
        <w:rPr>
          <w:rFonts w:ascii="Times New Roman" w:hAnsi="Times New Roman" w:cs="Times New Roman"/>
          <w:sz w:val="24"/>
          <w:szCs w:val="24"/>
          <w:lang w:eastAsia="en-US"/>
        </w:rPr>
        <w:t xml:space="preserve">route sera encore longue pour arriver à la souveraineté monétaire et que le débat doit continuer. D'autant que </w:t>
      </w:r>
      <w:r w:rsidR="00741096">
        <w:rPr>
          <w:rFonts w:ascii="Times New Roman" w:hAnsi="Times New Roman" w:cs="Times New Roman"/>
          <w:sz w:val="24"/>
          <w:szCs w:val="24"/>
          <w:lang w:eastAsia="en-US"/>
        </w:rPr>
        <w:t>les 24 points de la Feuille de route sont loin des objectifs et reflètent le point de vue dominant chez la majorité des chercheurs et autres intervenants</w:t>
      </w:r>
      <w:r w:rsidR="000D5B79">
        <w:rPr>
          <w:rFonts w:ascii="Times New Roman" w:hAnsi="Times New Roman" w:cs="Times New Roman"/>
          <w:sz w:val="24"/>
          <w:szCs w:val="24"/>
          <w:lang w:eastAsia="en-US"/>
        </w:rPr>
        <w:t>, y compris du monde bancaire</w:t>
      </w:r>
      <w:r w:rsidR="00741096">
        <w:rPr>
          <w:rFonts w:ascii="Times New Roman" w:hAnsi="Times New Roman" w:cs="Times New Roman"/>
          <w:sz w:val="24"/>
          <w:szCs w:val="24"/>
          <w:lang w:eastAsia="en-US"/>
        </w:rPr>
        <w:t xml:space="preserve"> </w:t>
      </w:r>
      <w:r w:rsidR="000D5B79">
        <w:rPr>
          <w:rFonts w:ascii="Times New Roman" w:hAnsi="Times New Roman" w:cs="Times New Roman"/>
          <w:sz w:val="24"/>
          <w:szCs w:val="24"/>
          <w:lang w:eastAsia="en-US"/>
        </w:rPr>
        <w:t>régional</w:t>
      </w:r>
      <w:r w:rsidR="00467245">
        <w:rPr>
          <w:rFonts w:ascii="Times New Roman" w:hAnsi="Times New Roman" w:cs="Times New Roman"/>
          <w:sz w:val="24"/>
          <w:szCs w:val="24"/>
          <w:lang w:eastAsia="en-US"/>
        </w:rPr>
        <w:t>, qui</w:t>
      </w:r>
      <w:r w:rsidR="000D5B79">
        <w:rPr>
          <w:rFonts w:ascii="Times New Roman" w:hAnsi="Times New Roman" w:cs="Times New Roman"/>
          <w:sz w:val="24"/>
          <w:szCs w:val="24"/>
          <w:lang w:eastAsia="en-US"/>
        </w:rPr>
        <w:t xml:space="preserve"> </w:t>
      </w:r>
      <w:r w:rsidR="00741096">
        <w:rPr>
          <w:rFonts w:ascii="Times New Roman" w:hAnsi="Times New Roman" w:cs="Times New Roman"/>
          <w:sz w:val="24"/>
          <w:szCs w:val="24"/>
          <w:lang w:eastAsia="en-US"/>
        </w:rPr>
        <w:t xml:space="preserve">ont été formatés </w:t>
      </w:r>
      <w:r w:rsidR="00846828">
        <w:rPr>
          <w:rFonts w:ascii="Times New Roman" w:hAnsi="Times New Roman" w:cs="Times New Roman"/>
          <w:sz w:val="24"/>
          <w:szCs w:val="24"/>
          <w:lang w:eastAsia="en-US"/>
        </w:rPr>
        <w:t xml:space="preserve">par </w:t>
      </w:r>
      <w:r w:rsidR="00741096">
        <w:rPr>
          <w:rFonts w:ascii="Times New Roman" w:hAnsi="Times New Roman" w:cs="Times New Roman"/>
          <w:sz w:val="24"/>
          <w:szCs w:val="24"/>
          <w:lang w:eastAsia="en-US"/>
        </w:rPr>
        <w:t xml:space="preserve">l'économie monétaire conventionnelle néo-classique. </w:t>
      </w:r>
      <w:r w:rsidR="008F7BE2">
        <w:rPr>
          <w:rFonts w:ascii="Times New Roman" w:hAnsi="Times New Roman" w:cs="Times New Roman"/>
          <w:sz w:val="24"/>
          <w:szCs w:val="24"/>
          <w:lang w:eastAsia="en-US"/>
        </w:rPr>
        <w:t>Qu'il ne m'en veuille donc pas pour les commentaires critiques suivants dont le seul but est de faire progre</w:t>
      </w:r>
      <w:r w:rsidR="00741096">
        <w:rPr>
          <w:rFonts w:ascii="Times New Roman" w:hAnsi="Times New Roman" w:cs="Times New Roman"/>
          <w:sz w:val="24"/>
          <w:szCs w:val="24"/>
          <w:lang w:eastAsia="en-US"/>
        </w:rPr>
        <w:t>sser le débat</w:t>
      </w:r>
      <w:r>
        <w:rPr>
          <w:rFonts w:ascii="Times New Roman" w:hAnsi="Times New Roman" w:cs="Times New Roman"/>
          <w:sz w:val="24"/>
          <w:szCs w:val="24"/>
          <w:lang w:eastAsia="en-US"/>
        </w:rPr>
        <w:t xml:space="preserve">. </w:t>
      </w:r>
    </w:p>
    <w:p w14:paraId="7DDC811B" w14:textId="77777777" w:rsidR="00741096" w:rsidRDefault="00741096" w:rsidP="000D5B79">
      <w:pPr>
        <w:rPr>
          <w:rFonts w:ascii="Times New Roman" w:hAnsi="Times New Roman" w:cs="Times New Roman"/>
          <w:sz w:val="24"/>
          <w:szCs w:val="24"/>
          <w:lang w:eastAsia="en-US"/>
        </w:rPr>
      </w:pPr>
    </w:p>
    <w:p w14:paraId="0548A375" w14:textId="5E9F16DF" w:rsidR="005E614E" w:rsidRPr="00741096" w:rsidRDefault="00C71EB2" w:rsidP="000D5B7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U</w:t>
      </w:r>
      <w:r w:rsidR="005E614E" w:rsidRPr="00C71EB2">
        <w:rPr>
          <w:rFonts w:ascii="Times New Roman" w:hAnsi="Times New Roman" w:cs="Times New Roman"/>
          <w:sz w:val="24"/>
          <w:szCs w:val="24"/>
          <w:lang w:eastAsia="en-US"/>
        </w:rPr>
        <w:t xml:space="preserve">n point très faible est l’insuffisance de l’objectif et </w:t>
      </w:r>
      <w:r w:rsidR="005E614E" w:rsidRPr="00741096">
        <w:rPr>
          <w:rFonts w:ascii="Times New Roman" w:hAnsi="Times New Roman" w:cs="Times New Roman"/>
          <w:sz w:val="24"/>
          <w:szCs w:val="24"/>
          <w:lang w:eastAsia="en-US"/>
        </w:rPr>
        <w:t>des moyens de la solidarité politique et budgétaire</w:t>
      </w:r>
      <w:r w:rsidRPr="00741096">
        <w:rPr>
          <w:rFonts w:ascii="Times New Roman" w:hAnsi="Times New Roman" w:cs="Times New Roman"/>
          <w:sz w:val="24"/>
          <w:szCs w:val="24"/>
          <w:lang w:eastAsia="en-US"/>
        </w:rPr>
        <w:t>, même si c</w:t>
      </w:r>
      <w:r w:rsidR="005E614E" w:rsidRPr="00741096">
        <w:rPr>
          <w:rFonts w:ascii="Times New Roman" w:hAnsi="Times New Roman" w:cs="Times New Roman"/>
          <w:sz w:val="24"/>
          <w:szCs w:val="24"/>
          <w:lang w:eastAsia="en-US"/>
        </w:rPr>
        <w:t>’est le point 13 qui va le plus loin</w:t>
      </w:r>
      <w:r w:rsidR="006B02DB">
        <w:rPr>
          <w:rFonts w:ascii="Times New Roman" w:hAnsi="Times New Roman" w:cs="Times New Roman"/>
          <w:sz w:val="24"/>
          <w:szCs w:val="24"/>
          <w:lang w:eastAsia="en-US"/>
        </w:rPr>
        <w:t>,</w:t>
      </w:r>
      <w:r w:rsidR="005E614E" w:rsidRPr="00741096">
        <w:rPr>
          <w:rFonts w:ascii="Times New Roman" w:hAnsi="Times New Roman" w:cs="Times New Roman"/>
          <w:sz w:val="24"/>
          <w:szCs w:val="24"/>
          <w:lang w:eastAsia="en-US"/>
        </w:rPr>
        <w:t xml:space="preserve"> mais </w:t>
      </w:r>
      <w:r w:rsidR="000D5B79">
        <w:rPr>
          <w:rFonts w:ascii="Times New Roman" w:hAnsi="Times New Roman" w:cs="Times New Roman"/>
          <w:sz w:val="24"/>
          <w:szCs w:val="24"/>
          <w:lang w:eastAsia="en-US"/>
        </w:rPr>
        <w:t>son insuffisante précision permet de douter de sa</w:t>
      </w:r>
      <w:r w:rsidR="005E614E" w:rsidRPr="00741096">
        <w:rPr>
          <w:rFonts w:ascii="Times New Roman" w:hAnsi="Times New Roman" w:cs="Times New Roman"/>
          <w:sz w:val="24"/>
          <w:szCs w:val="24"/>
          <w:lang w:eastAsia="en-US"/>
        </w:rPr>
        <w:t xml:space="preserve"> </w:t>
      </w:r>
      <w:r w:rsidR="00940635">
        <w:rPr>
          <w:rFonts w:ascii="Times New Roman" w:hAnsi="Times New Roman" w:cs="Times New Roman"/>
          <w:sz w:val="24"/>
          <w:szCs w:val="24"/>
          <w:lang w:eastAsia="en-US"/>
        </w:rPr>
        <w:t>faisab</w:t>
      </w:r>
      <w:r w:rsidR="000D5B79">
        <w:rPr>
          <w:rFonts w:ascii="Times New Roman" w:hAnsi="Times New Roman" w:cs="Times New Roman"/>
          <w:sz w:val="24"/>
          <w:szCs w:val="24"/>
          <w:lang w:eastAsia="en-US"/>
        </w:rPr>
        <w:t>ilité</w:t>
      </w:r>
      <w:r w:rsidR="005E614E" w:rsidRPr="00741096">
        <w:rPr>
          <w:rFonts w:ascii="Times New Roman" w:hAnsi="Times New Roman" w:cs="Times New Roman"/>
          <w:sz w:val="24"/>
          <w:szCs w:val="24"/>
          <w:lang w:eastAsia="en-US"/>
        </w:rPr>
        <w:t xml:space="preserve"> : « </w:t>
      </w:r>
      <w:r w:rsidR="005E614E" w:rsidRPr="00741096">
        <w:rPr>
          <w:rFonts w:ascii="Times New Roman" w:hAnsi="Times New Roman" w:cs="Times New Roman"/>
          <w:i/>
          <w:iCs/>
          <w:sz w:val="24"/>
          <w:szCs w:val="24"/>
          <w:lang w:eastAsia="en-US"/>
        </w:rPr>
        <w:t>Dans la période</w:t>
      </w:r>
      <w:r w:rsidR="00940635">
        <w:rPr>
          <w:rFonts w:ascii="Times New Roman" w:hAnsi="Times New Roman" w:cs="Times New Roman"/>
          <w:i/>
          <w:iCs/>
          <w:sz w:val="24"/>
          <w:szCs w:val="24"/>
          <w:lang w:eastAsia="en-US"/>
        </w:rPr>
        <w:t xml:space="preserve"> de</w:t>
      </w:r>
      <w:r w:rsidR="005E614E" w:rsidRPr="00741096">
        <w:rPr>
          <w:rFonts w:ascii="Times New Roman" w:hAnsi="Times New Roman" w:cs="Times New Roman"/>
          <w:i/>
          <w:iCs/>
          <w:sz w:val="24"/>
          <w:szCs w:val="24"/>
          <w:lang w:eastAsia="en-US"/>
        </w:rPr>
        <w:t xml:space="preserve"> transition, la solidarité sera confortée sur une base politique et institutionnelle. Un mécanisme de coopération sera mis en place pour atténuer les divergences de vues et faciliter la convergence économique</w:t>
      </w:r>
      <w:r w:rsidR="005E614E" w:rsidRPr="00741096">
        <w:rPr>
          <w:rFonts w:ascii="Times New Roman" w:hAnsi="Times New Roman" w:cs="Times New Roman"/>
          <w:sz w:val="24"/>
          <w:szCs w:val="24"/>
          <w:lang w:eastAsia="en-US"/>
        </w:rPr>
        <w:t> ». Le point 5 parle d’une « </w:t>
      </w:r>
      <w:r w:rsidR="005E614E" w:rsidRPr="00741096">
        <w:rPr>
          <w:rFonts w:ascii="Times New Roman" w:hAnsi="Times New Roman" w:cs="Times New Roman"/>
          <w:i/>
          <w:iCs/>
          <w:sz w:val="24"/>
          <w:szCs w:val="24"/>
          <w:lang w:eastAsia="en-US"/>
        </w:rPr>
        <w:t>intégration économique accrue et renforcée</w:t>
      </w:r>
      <w:r w:rsidR="005E614E" w:rsidRPr="00741096">
        <w:rPr>
          <w:rFonts w:ascii="Times New Roman" w:hAnsi="Times New Roman" w:cs="Times New Roman"/>
          <w:sz w:val="24"/>
          <w:szCs w:val="24"/>
          <w:lang w:eastAsia="en-US"/>
        </w:rPr>
        <w:t xml:space="preserve"> » </w:t>
      </w:r>
      <w:r w:rsidR="00940635">
        <w:rPr>
          <w:rFonts w:ascii="Times New Roman" w:hAnsi="Times New Roman" w:cs="Times New Roman"/>
          <w:sz w:val="24"/>
          <w:szCs w:val="24"/>
          <w:lang w:eastAsia="en-US"/>
        </w:rPr>
        <w:t>mais</w:t>
      </w:r>
      <w:r w:rsidR="005E614E" w:rsidRPr="00741096">
        <w:rPr>
          <w:rFonts w:ascii="Times New Roman" w:hAnsi="Times New Roman" w:cs="Times New Roman"/>
          <w:sz w:val="24"/>
          <w:szCs w:val="24"/>
          <w:lang w:eastAsia="en-US"/>
        </w:rPr>
        <w:t xml:space="preserve"> pas d’une intégration politique et budgétaire pas plus que le point 2 où le fait de viser une souveraineté politique de la CEDEAO s’entend plutôt vis-à-vis du reste du monde. Pas plus que la mutualisation des réserves de change (point 12) n’implique une mutualisation des budgets, du moins n</w:t>
      </w:r>
      <w:r w:rsidR="00D32379">
        <w:rPr>
          <w:rFonts w:ascii="Times New Roman" w:hAnsi="Times New Roman" w:cs="Times New Roman"/>
          <w:sz w:val="24"/>
          <w:szCs w:val="24"/>
          <w:lang w:eastAsia="en-US"/>
        </w:rPr>
        <w:t xml:space="preserve">'évoque </w:t>
      </w:r>
      <w:r w:rsidR="005E614E" w:rsidRPr="00741096">
        <w:rPr>
          <w:rFonts w:ascii="Times New Roman" w:hAnsi="Times New Roman" w:cs="Times New Roman"/>
          <w:sz w:val="24"/>
          <w:szCs w:val="24"/>
          <w:lang w:eastAsia="en-US"/>
        </w:rPr>
        <w:t>pas le pourcentage du budget commun par rapport au PIB de l</w:t>
      </w:r>
      <w:r w:rsidR="00D32379">
        <w:rPr>
          <w:rFonts w:ascii="Times New Roman" w:hAnsi="Times New Roman" w:cs="Times New Roman"/>
          <w:sz w:val="24"/>
          <w:szCs w:val="24"/>
          <w:lang w:eastAsia="en-US"/>
        </w:rPr>
        <w:t xml:space="preserve">'UEMOA et </w:t>
      </w:r>
      <w:r w:rsidR="005E614E" w:rsidRPr="00741096">
        <w:rPr>
          <w:rFonts w:ascii="Times New Roman" w:hAnsi="Times New Roman" w:cs="Times New Roman"/>
          <w:sz w:val="24"/>
          <w:szCs w:val="24"/>
          <w:lang w:eastAsia="en-US"/>
        </w:rPr>
        <w:t xml:space="preserve">CEDEAO </w:t>
      </w:r>
      <w:r w:rsidR="00D32379">
        <w:rPr>
          <w:rFonts w:ascii="Times New Roman" w:hAnsi="Times New Roman" w:cs="Times New Roman"/>
          <w:sz w:val="24"/>
          <w:szCs w:val="24"/>
          <w:lang w:eastAsia="en-US"/>
        </w:rPr>
        <w:t xml:space="preserve">à </w:t>
      </w:r>
      <w:r w:rsidR="005E614E" w:rsidRPr="00741096">
        <w:rPr>
          <w:rFonts w:ascii="Times New Roman" w:hAnsi="Times New Roman" w:cs="Times New Roman"/>
          <w:sz w:val="24"/>
          <w:szCs w:val="24"/>
          <w:lang w:eastAsia="en-US"/>
        </w:rPr>
        <w:t>affect</w:t>
      </w:r>
      <w:r w:rsidR="00D32379">
        <w:rPr>
          <w:rFonts w:ascii="Times New Roman" w:hAnsi="Times New Roman" w:cs="Times New Roman"/>
          <w:sz w:val="24"/>
          <w:szCs w:val="24"/>
          <w:lang w:eastAsia="en-US"/>
        </w:rPr>
        <w:t>er</w:t>
      </w:r>
      <w:r w:rsidR="005E614E" w:rsidRPr="00741096">
        <w:rPr>
          <w:rFonts w:ascii="Times New Roman" w:hAnsi="Times New Roman" w:cs="Times New Roman"/>
          <w:sz w:val="24"/>
          <w:szCs w:val="24"/>
          <w:lang w:eastAsia="en-US"/>
        </w:rPr>
        <w:t xml:space="preserve"> à des politiques communes, dont à celles de fonds de cohésion pour le rattrapage des entreprises, ménages et Etats moins compétitifs. </w:t>
      </w:r>
    </w:p>
    <w:p w14:paraId="6CC00FD6" w14:textId="77777777" w:rsidR="005E614E" w:rsidRPr="00741096" w:rsidRDefault="005E614E" w:rsidP="000D5B79">
      <w:pPr>
        <w:jc w:val="both"/>
        <w:rPr>
          <w:rFonts w:ascii="Times New Roman" w:hAnsi="Times New Roman" w:cs="Times New Roman"/>
          <w:sz w:val="24"/>
          <w:szCs w:val="24"/>
          <w:lang w:eastAsia="en-US"/>
        </w:rPr>
      </w:pPr>
    </w:p>
    <w:p w14:paraId="54E47DA4" w14:textId="5942250F" w:rsidR="005E614E" w:rsidRPr="00741096" w:rsidRDefault="005E614E" w:rsidP="000D5B79">
      <w:pPr>
        <w:jc w:val="both"/>
        <w:rPr>
          <w:rFonts w:ascii="Times New Roman" w:hAnsi="Times New Roman" w:cs="Times New Roman"/>
          <w:sz w:val="24"/>
          <w:szCs w:val="24"/>
          <w:lang w:eastAsia="en-US"/>
        </w:rPr>
      </w:pPr>
      <w:r w:rsidRPr="00741096">
        <w:rPr>
          <w:rFonts w:ascii="Times New Roman" w:hAnsi="Times New Roman" w:cs="Times New Roman"/>
          <w:sz w:val="24"/>
          <w:szCs w:val="24"/>
          <w:lang w:eastAsia="en-US"/>
        </w:rPr>
        <w:t>Le point 11 disant que « </w:t>
      </w:r>
      <w:r w:rsidRPr="00741096">
        <w:rPr>
          <w:rFonts w:ascii="Times New Roman" w:hAnsi="Times New Roman" w:cs="Times New Roman"/>
          <w:i/>
          <w:iCs/>
          <w:sz w:val="24"/>
          <w:szCs w:val="24"/>
          <w:lang w:eastAsia="en-US"/>
        </w:rPr>
        <w:t>une Banque centrale sera chargée  de conduire la politique monétaire et de change des pays membres de la zone Eco-Cedeao</w:t>
      </w:r>
      <w:r w:rsidRPr="00741096">
        <w:rPr>
          <w:rFonts w:ascii="Times New Roman" w:hAnsi="Times New Roman" w:cs="Times New Roman"/>
          <w:sz w:val="24"/>
          <w:szCs w:val="24"/>
          <w:lang w:eastAsia="en-US"/>
        </w:rPr>
        <w:t> », confirmé par le point 15 (</w:t>
      </w:r>
      <w:r w:rsidRPr="00741096">
        <w:rPr>
          <w:rFonts w:ascii="Times New Roman" w:hAnsi="Times New Roman" w:cs="Times New Roman"/>
          <w:i/>
          <w:iCs/>
          <w:sz w:val="24"/>
          <w:szCs w:val="24"/>
          <w:lang w:eastAsia="en-US"/>
        </w:rPr>
        <w:t>Le taux de change de la monnaie commune sera flexible mais administré par la Banque centrale</w:t>
      </w:r>
      <w:r w:rsidRPr="00741096">
        <w:rPr>
          <w:rFonts w:ascii="Times New Roman" w:hAnsi="Times New Roman" w:cs="Times New Roman"/>
          <w:sz w:val="24"/>
          <w:szCs w:val="24"/>
          <w:lang w:eastAsia="en-US"/>
        </w:rPr>
        <w:t xml:space="preserve">) laisse penser que la Banque centrale </w:t>
      </w:r>
      <w:r w:rsidR="006B02DB">
        <w:rPr>
          <w:rFonts w:ascii="Times New Roman" w:hAnsi="Times New Roman" w:cs="Times New Roman"/>
          <w:sz w:val="24"/>
          <w:szCs w:val="24"/>
          <w:lang w:eastAsia="en-US"/>
        </w:rPr>
        <w:t>restera</w:t>
      </w:r>
      <w:r w:rsidRPr="00741096">
        <w:rPr>
          <w:rFonts w:ascii="Times New Roman" w:hAnsi="Times New Roman" w:cs="Times New Roman"/>
          <w:sz w:val="24"/>
          <w:szCs w:val="24"/>
          <w:lang w:eastAsia="en-US"/>
        </w:rPr>
        <w:t xml:space="preserve"> </w:t>
      </w:r>
      <w:r w:rsidR="006B02DB">
        <w:rPr>
          <w:rFonts w:ascii="Times New Roman" w:hAnsi="Times New Roman" w:cs="Times New Roman"/>
          <w:sz w:val="24"/>
          <w:szCs w:val="24"/>
          <w:lang w:eastAsia="en-US"/>
        </w:rPr>
        <w:t xml:space="preserve">comme aujourd'hui </w:t>
      </w:r>
      <w:r w:rsidRPr="00741096">
        <w:rPr>
          <w:rFonts w:ascii="Times New Roman" w:hAnsi="Times New Roman" w:cs="Times New Roman"/>
          <w:sz w:val="24"/>
          <w:szCs w:val="24"/>
          <w:lang w:eastAsia="en-US"/>
        </w:rPr>
        <w:t>indépendante des Etats de la CEDEAO qui y participeront (comme la BCE</w:t>
      </w:r>
      <w:r w:rsidR="00A11247" w:rsidRPr="00741096">
        <w:rPr>
          <w:rFonts w:ascii="Times New Roman" w:hAnsi="Times New Roman" w:cs="Times New Roman"/>
          <w:sz w:val="24"/>
          <w:szCs w:val="24"/>
          <w:lang w:eastAsia="en-US"/>
        </w:rPr>
        <w:t>, Banque centrale européenne)</w:t>
      </w:r>
      <w:r w:rsidRPr="00741096">
        <w:rPr>
          <w:rFonts w:ascii="Times New Roman" w:hAnsi="Times New Roman" w:cs="Times New Roman"/>
          <w:sz w:val="24"/>
          <w:szCs w:val="24"/>
          <w:lang w:eastAsia="en-US"/>
        </w:rPr>
        <w:t xml:space="preserve">, d’autant qu’il s’agira de faire respecter </w:t>
      </w:r>
      <w:r w:rsidRPr="00741096">
        <w:rPr>
          <w:rFonts w:ascii="Times New Roman" w:hAnsi="Times New Roman" w:cs="Times New Roman"/>
          <w:i/>
          <w:iCs/>
          <w:sz w:val="24"/>
          <w:szCs w:val="24"/>
          <w:lang w:eastAsia="en-US"/>
        </w:rPr>
        <w:t>« les critères minimaux de convergence</w:t>
      </w:r>
      <w:r w:rsidRPr="00741096">
        <w:rPr>
          <w:rFonts w:ascii="Times New Roman" w:hAnsi="Times New Roman" w:cs="Times New Roman"/>
          <w:sz w:val="24"/>
          <w:szCs w:val="24"/>
          <w:lang w:eastAsia="en-US"/>
        </w:rPr>
        <w:t> » (point 19) que précise le point 7 (</w:t>
      </w:r>
      <w:r w:rsidRPr="00741096">
        <w:rPr>
          <w:rFonts w:ascii="Times New Roman" w:hAnsi="Times New Roman" w:cs="Times New Roman"/>
          <w:i/>
          <w:iCs/>
          <w:sz w:val="24"/>
          <w:szCs w:val="24"/>
          <w:lang w:eastAsia="en-US"/>
        </w:rPr>
        <w:t>prix, dette, déficit</w:t>
      </w:r>
      <w:r w:rsidRPr="00741096">
        <w:rPr>
          <w:rFonts w:ascii="Times New Roman" w:hAnsi="Times New Roman" w:cs="Times New Roman"/>
          <w:sz w:val="24"/>
          <w:szCs w:val="24"/>
          <w:lang w:eastAsia="en-US"/>
        </w:rPr>
        <w:t>) « </w:t>
      </w:r>
      <w:r w:rsidRPr="00741096">
        <w:rPr>
          <w:rFonts w:ascii="Times New Roman" w:hAnsi="Times New Roman" w:cs="Times New Roman"/>
          <w:i/>
          <w:iCs/>
          <w:sz w:val="24"/>
          <w:szCs w:val="24"/>
          <w:lang w:eastAsia="en-US"/>
        </w:rPr>
        <w:t>même si la résorption des différentiels n’est pas un prérequis mais un objectif de moyen terme</w:t>
      </w:r>
      <w:r w:rsidRPr="00741096">
        <w:rPr>
          <w:rFonts w:ascii="Times New Roman" w:hAnsi="Times New Roman" w:cs="Times New Roman"/>
          <w:sz w:val="24"/>
          <w:szCs w:val="24"/>
          <w:lang w:eastAsia="en-US"/>
        </w:rPr>
        <w:t xml:space="preserve"> ». </w:t>
      </w:r>
    </w:p>
    <w:p w14:paraId="205BFB01" w14:textId="77777777" w:rsidR="005E614E" w:rsidRPr="00741096" w:rsidRDefault="005E614E" w:rsidP="000D5B79">
      <w:pPr>
        <w:jc w:val="both"/>
        <w:rPr>
          <w:rFonts w:ascii="Times New Roman" w:hAnsi="Times New Roman" w:cs="Times New Roman"/>
          <w:sz w:val="24"/>
          <w:szCs w:val="24"/>
          <w:lang w:eastAsia="en-US"/>
        </w:rPr>
      </w:pPr>
    </w:p>
    <w:p w14:paraId="5C1A6A9C" w14:textId="500835E2" w:rsidR="00695AE8" w:rsidRPr="00741096" w:rsidRDefault="005E614E" w:rsidP="000D5B79">
      <w:pPr>
        <w:jc w:val="both"/>
        <w:rPr>
          <w:rFonts w:ascii="Times New Roman" w:hAnsi="Times New Roman" w:cs="Times New Roman"/>
          <w:sz w:val="24"/>
          <w:szCs w:val="24"/>
          <w:lang w:eastAsia="en-US"/>
        </w:rPr>
      </w:pPr>
      <w:r w:rsidRPr="00741096">
        <w:rPr>
          <w:rFonts w:ascii="Times New Roman" w:hAnsi="Times New Roman" w:cs="Times New Roman"/>
          <w:sz w:val="24"/>
          <w:szCs w:val="24"/>
          <w:lang w:eastAsia="en-US"/>
        </w:rPr>
        <w:t>Si la Banque centrale est effectivement indépendante des Gouvernements (et de la CEDEAO) on se demande comment pourrait être appliqué le point 22 qui apparait contradictoire avec cette indépendance puisque « </w:t>
      </w:r>
      <w:r w:rsidRPr="00741096">
        <w:rPr>
          <w:rFonts w:ascii="Times New Roman" w:hAnsi="Times New Roman" w:cs="Times New Roman"/>
          <w:i/>
          <w:iCs/>
          <w:sz w:val="24"/>
          <w:szCs w:val="24"/>
          <w:lang w:eastAsia="en-US"/>
        </w:rPr>
        <w:t>Lors de la phase de transition et d’apprentissage des mécanismes de change, l’attention portera sur le rapprochement fiscal et budgétaire et la stimulation des marchés financiers régionaux, deux conditions nécessaires</w:t>
      </w:r>
      <w:r w:rsidRPr="00741096">
        <w:rPr>
          <w:rFonts w:ascii="Times New Roman" w:hAnsi="Times New Roman" w:cs="Times New Roman"/>
          <w:sz w:val="24"/>
          <w:szCs w:val="24"/>
          <w:lang w:eastAsia="en-US"/>
        </w:rPr>
        <w:t xml:space="preserve"> ». Ce n’est évidemment pas la Banque centrale qui sera en mesure d’imposer le </w:t>
      </w:r>
      <w:r w:rsidRPr="00741096">
        <w:rPr>
          <w:rFonts w:ascii="Times New Roman" w:hAnsi="Times New Roman" w:cs="Times New Roman"/>
          <w:i/>
          <w:iCs/>
          <w:sz w:val="24"/>
          <w:szCs w:val="24"/>
          <w:lang w:eastAsia="en-US"/>
        </w:rPr>
        <w:t>« rapprochement fiscal et budgétaire</w:t>
      </w:r>
      <w:r w:rsidRPr="00741096">
        <w:rPr>
          <w:rFonts w:ascii="Times New Roman" w:hAnsi="Times New Roman" w:cs="Times New Roman"/>
          <w:sz w:val="24"/>
          <w:szCs w:val="24"/>
          <w:lang w:eastAsia="en-US"/>
        </w:rPr>
        <w:t xml:space="preserve"> » mais </w:t>
      </w:r>
      <w:r w:rsidR="00A11247" w:rsidRPr="00741096">
        <w:rPr>
          <w:rFonts w:ascii="Times New Roman" w:hAnsi="Times New Roman" w:cs="Times New Roman"/>
          <w:sz w:val="24"/>
          <w:szCs w:val="24"/>
          <w:lang w:eastAsia="en-US"/>
        </w:rPr>
        <w:t>ce sont l</w:t>
      </w:r>
      <w:r w:rsidRPr="00741096">
        <w:rPr>
          <w:rFonts w:ascii="Times New Roman" w:hAnsi="Times New Roman" w:cs="Times New Roman"/>
          <w:sz w:val="24"/>
          <w:szCs w:val="24"/>
          <w:lang w:eastAsia="en-US"/>
        </w:rPr>
        <w:t xml:space="preserve">es gouvernements et, aux Etats-Unis, la FED </w:t>
      </w:r>
      <w:r w:rsidR="00A11247" w:rsidRPr="00741096">
        <w:rPr>
          <w:rFonts w:ascii="Times New Roman" w:hAnsi="Times New Roman" w:cs="Times New Roman"/>
          <w:sz w:val="24"/>
          <w:szCs w:val="24"/>
          <w:lang w:eastAsia="en-US"/>
        </w:rPr>
        <w:t xml:space="preserve">(Federal Reserve) </w:t>
      </w:r>
      <w:r w:rsidRPr="00741096">
        <w:rPr>
          <w:rFonts w:ascii="Times New Roman" w:hAnsi="Times New Roman" w:cs="Times New Roman"/>
          <w:sz w:val="24"/>
          <w:szCs w:val="24"/>
          <w:lang w:eastAsia="en-US"/>
        </w:rPr>
        <w:t>a le double mandat du Congrès de contrôler l’inflation et de maximiser l’emploi</w:t>
      </w:r>
      <w:r w:rsidR="00741096">
        <w:rPr>
          <w:rStyle w:val="Appelnotedebasdep"/>
          <w:rFonts w:ascii="Times New Roman" w:hAnsi="Times New Roman" w:cs="Times New Roman"/>
          <w:sz w:val="24"/>
          <w:szCs w:val="24"/>
          <w:lang w:eastAsia="en-US"/>
        </w:rPr>
        <w:footnoteReference w:id="2"/>
      </w:r>
      <w:r w:rsidRPr="00741096">
        <w:rPr>
          <w:rFonts w:ascii="Times New Roman" w:hAnsi="Times New Roman" w:cs="Times New Roman"/>
          <w:sz w:val="24"/>
          <w:szCs w:val="24"/>
          <w:lang w:eastAsia="en-US"/>
        </w:rPr>
        <w:t xml:space="preserve">. Ce n’est même pas le cas des Banques centrales de l’UE hors zone euro puisque l’article 130 du traité instituant la Communauté européenne stipule que </w:t>
      </w:r>
      <w:r w:rsidR="00790F16">
        <w:rPr>
          <w:rFonts w:ascii="Times New Roman" w:hAnsi="Times New Roman" w:cs="Times New Roman"/>
          <w:sz w:val="24"/>
          <w:szCs w:val="24"/>
          <w:lang w:eastAsia="en-US"/>
        </w:rPr>
        <w:t xml:space="preserve">« </w:t>
      </w:r>
      <w:r w:rsidRPr="00741096">
        <w:rPr>
          <w:rFonts w:ascii="Times New Roman" w:hAnsi="Times New Roman" w:cs="Times New Roman"/>
          <w:i/>
          <w:iCs/>
          <w:sz w:val="24"/>
          <w:szCs w:val="24"/>
          <w:lang w:eastAsia="en-US"/>
        </w:rPr>
        <w:t xml:space="preserve">ni la BCE ni une banque centrale nationale ne peuvent </w:t>
      </w:r>
      <w:r w:rsidRPr="00741096">
        <w:rPr>
          <w:rFonts w:ascii="Times New Roman" w:hAnsi="Times New Roman" w:cs="Times New Roman"/>
          <w:i/>
          <w:iCs/>
          <w:sz w:val="24"/>
          <w:szCs w:val="24"/>
          <w:lang w:eastAsia="en-US"/>
        </w:rPr>
        <w:lastRenderedPageBreak/>
        <w:t>solliciter ni accepter des instructions des institutions communautaires, d'un gouvernement d'un État membre ou de tout autre organisme</w:t>
      </w:r>
      <w:r w:rsidR="00741096">
        <w:rPr>
          <w:rFonts w:ascii="Times New Roman" w:hAnsi="Times New Roman" w:cs="Times New Roman"/>
          <w:i/>
          <w:iCs/>
          <w:sz w:val="24"/>
          <w:szCs w:val="24"/>
          <w:lang w:eastAsia="en-US"/>
        </w:rPr>
        <w:t xml:space="preserve"> </w:t>
      </w:r>
      <w:r w:rsidRPr="00741096">
        <w:rPr>
          <w:rFonts w:ascii="Times New Roman" w:hAnsi="Times New Roman" w:cs="Times New Roman"/>
          <w:sz w:val="24"/>
          <w:szCs w:val="24"/>
          <w:lang w:eastAsia="en-US"/>
        </w:rPr>
        <w:t>»</w:t>
      </w:r>
      <w:r w:rsidR="00741096">
        <w:rPr>
          <w:rStyle w:val="Appelnotedebasdep"/>
          <w:rFonts w:ascii="Times New Roman" w:hAnsi="Times New Roman" w:cs="Times New Roman"/>
          <w:sz w:val="24"/>
          <w:szCs w:val="24"/>
          <w:lang w:eastAsia="en-US"/>
        </w:rPr>
        <w:footnoteReference w:id="3"/>
      </w:r>
      <w:r w:rsidRPr="00741096">
        <w:rPr>
          <w:rFonts w:ascii="Times New Roman" w:hAnsi="Times New Roman" w:cs="Times New Roman"/>
          <w:sz w:val="24"/>
          <w:szCs w:val="24"/>
          <w:lang w:eastAsia="en-US"/>
        </w:rPr>
        <w:t xml:space="preserve">. </w:t>
      </w:r>
    </w:p>
    <w:p w14:paraId="614BDE9B" w14:textId="46DB1612" w:rsidR="008106A9" w:rsidRPr="00741096" w:rsidRDefault="00B374B5" w:rsidP="000D5B79">
      <w:pPr>
        <w:ind w:hanging="11"/>
        <w:jc w:val="both"/>
        <w:rPr>
          <w:rFonts w:ascii="Times New Roman" w:hAnsi="Times New Roman" w:cs="Times New Roman"/>
          <w:sz w:val="24"/>
          <w:szCs w:val="24"/>
          <w:lang w:eastAsia="en-US"/>
        </w:rPr>
      </w:pPr>
      <w:r w:rsidRPr="00741096">
        <w:rPr>
          <w:rFonts w:ascii="Times New Roman" w:hAnsi="Times New Roman" w:cs="Times New Roman"/>
          <w:sz w:val="24"/>
          <w:szCs w:val="24"/>
          <w:lang w:eastAsia="en-US"/>
        </w:rPr>
        <w:t>Quant à la "</w:t>
      </w:r>
      <w:r w:rsidRPr="00741096">
        <w:rPr>
          <w:rFonts w:ascii="Times New Roman" w:hAnsi="Times New Roman" w:cs="Times New Roman"/>
          <w:i/>
          <w:iCs/>
          <w:sz w:val="24"/>
          <w:szCs w:val="24"/>
          <w:lang w:eastAsia="en-US"/>
        </w:rPr>
        <w:t>stimulation des marchés financiers régionaux</w:t>
      </w:r>
      <w:r w:rsidRPr="00741096">
        <w:rPr>
          <w:rFonts w:ascii="Times New Roman" w:hAnsi="Times New Roman" w:cs="Times New Roman"/>
          <w:sz w:val="24"/>
          <w:szCs w:val="24"/>
          <w:lang w:eastAsia="en-US"/>
        </w:rPr>
        <w:t xml:space="preserve">" ceux-ci visent généralement à attirer les investisseurs de toutes origines, y compris étrangers à la CEDEAO et à l'Afrique, ce qui peut promouvoir un fonctionnement extraverti de l'économie basé sur un endettement en devises étrangères, autre contradiction avec l'objectif affiché de souveraineté économique. </w:t>
      </w:r>
      <w:r w:rsidR="00D26EA0" w:rsidRPr="00741096">
        <w:rPr>
          <w:rFonts w:ascii="Times New Roman" w:hAnsi="Times New Roman" w:cs="Times New Roman"/>
          <w:sz w:val="24"/>
          <w:szCs w:val="24"/>
          <w:lang w:eastAsia="en-US"/>
        </w:rPr>
        <w:t xml:space="preserve">D'un côté </w:t>
      </w:r>
      <w:r w:rsidR="004F32ED" w:rsidRPr="00741096">
        <w:rPr>
          <w:rFonts w:ascii="Times New Roman" w:hAnsi="Times New Roman" w:cs="Times New Roman"/>
          <w:sz w:val="24"/>
          <w:szCs w:val="24"/>
          <w:lang w:eastAsia="en-US"/>
        </w:rPr>
        <w:t xml:space="preserve">ce risque </w:t>
      </w:r>
      <w:r w:rsidR="006B02DB">
        <w:rPr>
          <w:rFonts w:ascii="Times New Roman" w:hAnsi="Times New Roman" w:cs="Times New Roman"/>
          <w:sz w:val="24"/>
          <w:szCs w:val="24"/>
          <w:lang w:eastAsia="en-US"/>
        </w:rPr>
        <w:t>se</w:t>
      </w:r>
      <w:r w:rsidR="00845DA6" w:rsidRPr="00741096">
        <w:rPr>
          <w:rFonts w:ascii="Times New Roman" w:hAnsi="Times New Roman" w:cs="Times New Roman"/>
          <w:sz w:val="24"/>
          <w:szCs w:val="24"/>
          <w:lang w:eastAsia="en-US"/>
        </w:rPr>
        <w:t xml:space="preserve">rait </w:t>
      </w:r>
      <w:r w:rsidR="004F32ED" w:rsidRPr="00741096">
        <w:rPr>
          <w:rFonts w:ascii="Times New Roman" w:hAnsi="Times New Roman" w:cs="Times New Roman"/>
          <w:sz w:val="24"/>
          <w:szCs w:val="24"/>
          <w:lang w:eastAsia="en-US"/>
        </w:rPr>
        <w:t xml:space="preserve">faible </w:t>
      </w:r>
      <w:r w:rsidR="00D26EA0" w:rsidRPr="00741096">
        <w:rPr>
          <w:rFonts w:ascii="Times New Roman" w:hAnsi="Times New Roman" w:cs="Times New Roman"/>
          <w:sz w:val="24"/>
          <w:szCs w:val="24"/>
          <w:lang w:eastAsia="en-US"/>
        </w:rPr>
        <w:t xml:space="preserve">si l'on s'en tient au </w:t>
      </w:r>
      <w:r w:rsidR="004F32ED" w:rsidRPr="00741096">
        <w:rPr>
          <w:rFonts w:ascii="Times New Roman" w:hAnsi="Times New Roman" w:cs="Times New Roman"/>
          <w:sz w:val="24"/>
          <w:szCs w:val="24"/>
          <w:lang w:eastAsia="en-US"/>
        </w:rPr>
        <w:t>rapport de l'OMC sur l'examen des politiques com</w:t>
      </w:r>
      <w:r w:rsidR="00D247AF" w:rsidRPr="00741096">
        <w:rPr>
          <w:rFonts w:ascii="Times New Roman" w:hAnsi="Times New Roman" w:cs="Times New Roman"/>
          <w:sz w:val="24"/>
          <w:szCs w:val="24"/>
          <w:lang w:eastAsia="en-US"/>
        </w:rPr>
        <w:t>m</w:t>
      </w:r>
      <w:r w:rsidR="004F32ED" w:rsidRPr="00741096">
        <w:rPr>
          <w:rFonts w:ascii="Times New Roman" w:hAnsi="Times New Roman" w:cs="Times New Roman"/>
          <w:sz w:val="24"/>
          <w:szCs w:val="24"/>
          <w:lang w:eastAsia="en-US"/>
        </w:rPr>
        <w:t>erci</w:t>
      </w:r>
      <w:r w:rsidR="00D247AF" w:rsidRPr="00741096">
        <w:rPr>
          <w:rFonts w:ascii="Times New Roman" w:hAnsi="Times New Roman" w:cs="Times New Roman"/>
          <w:sz w:val="24"/>
          <w:szCs w:val="24"/>
          <w:lang w:eastAsia="en-US"/>
        </w:rPr>
        <w:t>al</w:t>
      </w:r>
      <w:r w:rsidR="004F32ED" w:rsidRPr="00741096">
        <w:rPr>
          <w:rFonts w:ascii="Times New Roman" w:hAnsi="Times New Roman" w:cs="Times New Roman"/>
          <w:sz w:val="24"/>
          <w:szCs w:val="24"/>
          <w:lang w:eastAsia="en-US"/>
        </w:rPr>
        <w:t>es des Etats de l'U</w:t>
      </w:r>
      <w:r w:rsidR="00D247AF" w:rsidRPr="00741096">
        <w:rPr>
          <w:rFonts w:ascii="Times New Roman" w:hAnsi="Times New Roman" w:cs="Times New Roman"/>
          <w:sz w:val="24"/>
          <w:szCs w:val="24"/>
          <w:lang w:eastAsia="en-US"/>
        </w:rPr>
        <w:t>E</w:t>
      </w:r>
      <w:r w:rsidR="004F32ED" w:rsidRPr="00741096">
        <w:rPr>
          <w:rFonts w:ascii="Times New Roman" w:hAnsi="Times New Roman" w:cs="Times New Roman"/>
          <w:sz w:val="24"/>
          <w:szCs w:val="24"/>
          <w:lang w:eastAsia="en-US"/>
        </w:rPr>
        <w:t>MOA de</w:t>
      </w:r>
      <w:r w:rsidR="00D247AF" w:rsidRPr="00741096">
        <w:rPr>
          <w:rFonts w:ascii="Times New Roman" w:hAnsi="Times New Roman" w:cs="Times New Roman"/>
          <w:sz w:val="24"/>
          <w:szCs w:val="24"/>
          <w:lang w:eastAsia="en-US"/>
        </w:rPr>
        <w:t xml:space="preserve"> septembre 2017</w:t>
      </w:r>
      <w:r w:rsidR="00D26EA0" w:rsidRPr="00741096">
        <w:rPr>
          <w:rFonts w:ascii="Times New Roman" w:hAnsi="Times New Roman" w:cs="Times New Roman"/>
          <w:sz w:val="24"/>
          <w:szCs w:val="24"/>
          <w:lang w:eastAsia="en-US"/>
        </w:rPr>
        <w:t xml:space="preserve">, selon lequel </w:t>
      </w:r>
      <w:r w:rsidR="00790F16">
        <w:rPr>
          <w:rFonts w:ascii="Times New Roman" w:hAnsi="Times New Roman" w:cs="Times New Roman"/>
          <w:sz w:val="24"/>
          <w:szCs w:val="24"/>
          <w:lang w:eastAsia="en-US"/>
        </w:rPr>
        <w:t xml:space="preserve">« </w:t>
      </w:r>
      <w:r w:rsidR="00D247AF" w:rsidRPr="00741096">
        <w:rPr>
          <w:rFonts w:ascii="Times New Roman" w:hAnsi="Times New Roman" w:cs="Times New Roman"/>
          <w:i/>
          <w:iCs/>
          <w:sz w:val="24"/>
          <w:szCs w:val="24"/>
        </w:rPr>
        <w:t>Aucun titre émis hors de l'UMOA par une entité privée ou publique ou un OPCVM non-résident de l'Union ne peut faire l'objet d'une inscription à la cote de la BRVM</w:t>
      </w:r>
      <w:r w:rsidR="00A11247" w:rsidRPr="00741096">
        <w:rPr>
          <w:rFonts w:ascii="Times New Roman" w:hAnsi="Times New Roman" w:cs="Times New Roman"/>
          <w:i/>
          <w:iCs/>
          <w:sz w:val="24"/>
          <w:szCs w:val="24"/>
        </w:rPr>
        <w:t xml:space="preserve"> </w:t>
      </w:r>
      <w:r w:rsidR="00A11247" w:rsidRPr="00741096">
        <w:rPr>
          <w:rFonts w:ascii="Times New Roman" w:hAnsi="Times New Roman" w:cs="Times New Roman"/>
          <w:sz w:val="24"/>
          <w:szCs w:val="24"/>
        </w:rPr>
        <w:t>[Bourse régionale des valeurs mobilières de la CEDEAO]</w:t>
      </w:r>
      <w:r w:rsidR="00790F16">
        <w:rPr>
          <w:rFonts w:ascii="Times New Roman" w:hAnsi="Times New Roman" w:cs="Times New Roman"/>
          <w:sz w:val="24"/>
          <w:szCs w:val="24"/>
        </w:rPr>
        <w:t xml:space="preserve"> »</w:t>
      </w:r>
      <w:r w:rsidR="00790F16">
        <w:rPr>
          <w:rStyle w:val="Appelnotedebasdep"/>
          <w:rFonts w:ascii="Times New Roman" w:hAnsi="Times New Roman" w:cs="Times New Roman"/>
          <w:sz w:val="24"/>
          <w:szCs w:val="24"/>
          <w:lang w:eastAsia="en-US"/>
        </w:rPr>
        <w:footnoteReference w:id="4"/>
      </w:r>
      <w:r w:rsidR="00D247AF" w:rsidRPr="00741096">
        <w:rPr>
          <w:rFonts w:ascii="Times New Roman" w:hAnsi="Times New Roman" w:cs="Times New Roman"/>
          <w:sz w:val="24"/>
          <w:szCs w:val="24"/>
          <w:lang w:eastAsia="en-US"/>
        </w:rPr>
        <w:t xml:space="preserve">. </w:t>
      </w:r>
      <w:r w:rsidR="00D26EA0" w:rsidRPr="00741096">
        <w:rPr>
          <w:rFonts w:ascii="Times New Roman" w:hAnsi="Times New Roman" w:cs="Times New Roman"/>
          <w:sz w:val="24"/>
          <w:szCs w:val="24"/>
          <w:lang w:eastAsia="en-US"/>
        </w:rPr>
        <w:t xml:space="preserve">Mais cela n'a pas empêché certains pays de l'UEMOA de s'endetter en devises étrangères. Ainsi </w:t>
      </w:r>
      <w:r w:rsidR="00790F16">
        <w:rPr>
          <w:rFonts w:ascii="Times New Roman" w:hAnsi="Times New Roman" w:cs="Times New Roman"/>
          <w:sz w:val="24"/>
          <w:szCs w:val="24"/>
          <w:lang w:eastAsia="en-US"/>
        </w:rPr>
        <w:t xml:space="preserve">« </w:t>
      </w:r>
      <w:r w:rsidR="00D26EA0" w:rsidRPr="00741096">
        <w:rPr>
          <w:rFonts w:ascii="Times New Roman" w:hAnsi="Times New Roman" w:cs="Times New Roman"/>
          <w:i/>
          <w:iCs/>
          <w:sz w:val="24"/>
          <w:szCs w:val="24"/>
        </w:rPr>
        <w:t>En 2019, le Bénin et la Côte d'Ivoire ont levé des ressources sur les marchés internationaux par émission d'euro-obligations. Pour le Bénin, le montant global mobilisé se chiffre à 500 millions d'euros, soit 328 milliards de francs CFA. Quant à la Côte d'Ivoire, elle a mobilisé 1.700,0 millions d'euros en deux (2) tranches de 850 millions d'euros. Par ailleurs, la BOAD a levé en octobre 2019 des fonds sur les marchés internationaux pour un montant de 830 millions de dollars</w:t>
      </w:r>
      <w:r w:rsidR="00790F16">
        <w:rPr>
          <w:rFonts w:ascii="Times New Roman" w:hAnsi="Times New Roman" w:cs="Times New Roman"/>
          <w:i/>
          <w:iCs/>
          <w:sz w:val="24"/>
          <w:szCs w:val="24"/>
        </w:rPr>
        <w:t xml:space="preserve"> </w:t>
      </w:r>
      <w:r w:rsidR="00790F16" w:rsidRPr="00790F16">
        <w:rPr>
          <w:rFonts w:ascii="Times New Roman" w:hAnsi="Times New Roman" w:cs="Times New Roman"/>
          <w:sz w:val="24"/>
          <w:szCs w:val="24"/>
        </w:rPr>
        <w:t>»</w:t>
      </w:r>
      <w:r w:rsidR="00790F16" w:rsidRPr="00790F16">
        <w:rPr>
          <w:rStyle w:val="Appelnotedebasdep"/>
          <w:rFonts w:ascii="Times New Roman" w:hAnsi="Times New Roman" w:cs="Times New Roman"/>
          <w:sz w:val="24"/>
          <w:szCs w:val="24"/>
        </w:rPr>
        <w:footnoteReference w:id="5"/>
      </w:r>
      <w:r w:rsidR="00D26EA0" w:rsidRPr="00790F16">
        <w:rPr>
          <w:rFonts w:ascii="Times New Roman" w:hAnsi="Times New Roman" w:cs="Times New Roman"/>
          <w:sz w:val="24"/>
          <w:szCs w:val="24"/>
        </w:rPr>
        <w:t>.</w:t>
      </w:r>
      <w:r w:rsidR="00845DA6" w:rsidRPr="00741096">
        <w:rPr>
          <w:rFonts w:ascii="Times New Roman" w:hAnsi="Times New Roman" w:cs="Times New Roman"/>
          <w:sz w:val="24"/>
          <w:szCs w:val="24"/>
        </w:rPr>
        <w:t xml:space="preserve"> </w:t>
      </w:r>
    </w:p>
    <w:p w14:paraId="702E7BFC" w14:textId="77777777" w:rsidR="00A11247" w:rsidRPr="00741096" w:rsidRDefault="00A11247" w:rsidP="000D5B79">
      <w:pPr>
        <w:jc w:val="both"/>
        <w:rPr>
          <w:rFonts w:ascii="Times New Roman" w:hAnsi="Times New Roman" w:cs="Times New Roman"/>
          <w:sz w:val="24"/>
          <w:szCs w:val="24"/>
          <w:lang w:eastAsia="en-US"/>
        </w:rPr>
      </w:pPr>
    </w:p>
    <w:p w14:paraId="6F70344D" w14:textId="02BE856A" w:rsidR="006B02DB" w:rsidRDefault="0076672A" w:rsidP="000D5B79">
      <w:pPr>
        <w:jc w:val="both"/>
        <w:rPr>
          <w:rFonts w:ascii="Times New Roman" w:hAnsi="Times New Roman" w:cs="Times New Roman"/>
          <w:sz w:val="24"/>
          <w:szCs w:val="24"/>
          <w:lang w:eastAsia="en-US"/>
        </w:rPr>
      </w:pPr>
      <w:r w:rsidRPr="00741096">
        <w:rPr>
          <w:rFonts w:ascii="Times New Roman" w:hAnsi="Times New Roman" w:cs="Times New Roman"/>
          <w:sz w:val="24"/>
          <w:szCs w:val="24"/>
          <w:lang w:eastAsia="en-US"/>
        </w:rPr>
        <w:t xml:space="preserve">Le FMI a publié en mars 2021 </w:t>
      </w:r>
      <w:r w:rsidR="00A11247" w:rsidRPr="00741096">
        <w:rPr>
          <w:rFonts w:ascii="Times New Roman" w:hAnsi="Times New Roman" w:cs="Times New Roman"/>
          <w:sz w:val="24"/>
          <w:szCs w:val="24"/>
          <w:lang w:eastAsia="en-US"/>
        </w:rPr>
        <w:t xml:space="preserve">un rapport </w:t>
      </w:r>
      <w:r w:rsidRPr="00741096">
        <w:rPr>
          <w:rFonts w:ascii="Times New Roman" w:hAnsi="Times New Roman" w:cs="Times New Roman"/>
          <w:sz w:val="24"/>
          <w:szCs w:val="24"/>
          <w:lang w:eastAsia="en-US"/>
        </w:rPr>
        <w:t>sur la politique financière de l'UEMOA</w:t>
      </w:r>
      <w:r w:rsidR="00D247AF" w:rsidRPr="00741096">
        <w:rPr>
          <w:rFonts w:ascii="Times New Roman" w:hAnsi="Times New Roman" w:cs="Times New Roman"/>
          <w:sz w:val="24"/>
          <w:szCs w:val="24"/>
          <w:lang w:eastAsia="en-US"/>
        </w:rPr>
        <w:t>, qui</w:t>
      </w:r>
      <w:r w:rsidR="00B374B5" w:rsidRPr="00741096">
        <w:rPr>
          <w:rFonts w:ascii="Times New Roman" w:hAnsi="Times New Roman" w:cs="Times New Roman"/>
          <w:sz w:val="24"/>
          <w:szCs w:val="24"/>
          <w:lang w:eastAsia="en-US"/>
        </w:rPr>
        <w:t xml:space="preserve"> </w:t>
      </w:r>
      <w:r w:rsidRPr="00741096">
        <w:rPr>
          <w:rFonts w:ascii="Times New Roman" w:hAnsi="Times New Roman" w:cs="Times New Roman"/>
          <w:sz w:val="24"/>
          <w:szCs w:val="24"/>
          <w:lang w:eastAsia="en-US"/>
        </w:rPr>
        <w:t xml:space="preserve">recommande </w:t>
      </w:r>
      <w:r w:rsidR="00B374B5" w:rsidRPr="00741096">
        <w:rPr>
          <w:rFonts w:ascii="Times New Roman" w:hAnsi="Times New Roman" w:cs="Times New Roman"/>
          <w:sz w:val="24"/>
          <w:szCs w:val="24"/>
          <w:lang w:eastAsia="en-US"/>
        </w:rPr>
        <w:t xml:space="preserve">fortement </w:t>
      </w:r>
      <w:r w:rsidRPr="00741096">
        <w:rPr>
          <w:rFonts w:ascii="Times New Roman" w:hAnsi="Times New Roman" w:cs="Times New Roman"/>
          <w:sz w:val="24"/>
          <w:szCs w:val="24"/>
          <w:lang w:eastAsia="en-US"/>
        </w:rPr>
        <w:t>l'austérité budgétaire</w:t>
      </w:r>
      <w:r w:rsidR="00940635">
        <w:rPr>
          <w:rFonts w:ascii="Times New Roman" w:hAnsi="Times New Roman" w:cs="Times New Roman"/>
          <w:sz w:val="24"/>
          <w:szCs w:val="24"/>
          <w:lang w:eastAsia="en-US"/>
        </w:rPr>
        <w:t>,</w:t>
      </w:r>
      <w:r w:rsidRPr="00741096">
        <w:rPr>
          <w:rFonts w:ascii="Times New Roman" w:hAnsi="Times New Roman" w:cs="Times New Roman"/>
          <w:sz w:val="24"/>
          <w:szCs w:val="24"/>
          <w:lang w:eastAsia="en-US"/>
        </w:rPr>
        <w:t xml:space="preserve"> d'autant qu'il s'attend à une forte réduction de l'aide extérieure</w:t>
      </w:r>
      <w:r w:rsidR="006B02DB">
        <w:rPr>
          <w:rFonts w:ascii="Times New Roman" w:hAnsi="Times New Roman" w:cs="Times New Roman"/>
          <w:sz w:val="24"/>
          <w:szCs w:val="24"/>
          <w:lang w:eastAsia="en-US"/>
        </w:rPr>
        <w:t xml:space="preserve"> </w:t>
      </w:r>
      <w:r w:rsidR="008106A9" w:rsidRPr="00741096">
        <w:rPr>
          <w:rFonts w:ascii="Times New Roman" w:hAnsi="Times New Roman" w:cs="Times New Roman"/>
          <w:sz w:val="24"/>
          <w:szCs w:val="24"/>
          <w:lang w:eastAsia="en-US"/>
        </w:rPr>
        <w:t>:</w:t>
      </w:r>
      <w:r w:rsidR="00050A14">
        <w:rPr>
          <w:rFonts w:ascii="Times New Roman" w:hAnsi="Times New Roman" w:cs="Times New Roman"/>
          <w:sz w:val="24"/>
          <w:szCs w:val="24"/>
          <w:lang w:eastAsia="en-US"/>
        </w:rPr>
        <w:t xml:space="preserve"> « </w:t>
      </w:r>
      <w:r w:rsidR="00050A14" w:rsidRPr="00C71EB2">
        <w:rPr>
          <w:rFonts w:ascii="Times New Roman" w:hAnsi="Times New Roman" w:cs="Times New Roman"/>
          <w:i/>
          <w:iCs/>
          <w:sz w:val="24"/>
          <w:szCs w:val="24"/>
          <w:lang w:eastAsia="en-US"/>
        </w:rPr>
        <w:t>Un assainissement budgétaire progressif devrait commencer en 2021 et ramener le déficit budgétaire global vers le plafond régional de 3 % du PIB en trois ans… L'orientation de la politique monétaire est actuellement appropriée, mais la BCEAO devrait se tenir prête à la resserrer si les amortisseurs externes diminuent sensiblement cette année. Le niveau actuel des réserves est adéquat. Le policy mix dans un scénario défavorable</w:t>
      </w:r>
      <w:r w:rsidR="00940635">
        <w:rPr>
          <w:rFonts w:ascii="Times New Roman" w:hAnsi="Times New Roman" w:cs="Times New Roman"/>
          <w:i/>
          <w:iCs/>
          <w:sz w:val="24"/>
          <w:szCs w:val="24"/>
          <w:lang w:eastAsia="en-US"/>
        </w:rPr>
        <w:t xml:space="preserve"> </w:t>
      </w:r>
      <w:r w:rsidR="00050A14">
        <w:rPr>
          <w:rFonts w:ascii="Times New Roman" w:hAnsi="Times New Roman" w:cs="Times New Roman"/>
          <w:i/>
          <w:iCs/>
          <w:sz w:val="24"/>
          <w:szCs w:val="24"/>
          <w:lang w:eastAsia="en-US"/>
        </w:rPr>
        <w:t>: l</w:t>
      </w:r>
      <w:r w:rsidR="00050A14" w:rsidRPr="00C71EB2">
        <w:rPr>
          <w:rFonts w:ascii="Times New Roman" w:hAnsi="Times New Roman" w:cs="Times New Roman"/>
          <w:i/>
          <w:iCs/>
          <w:sz w:val="24"/>
          <w:szCs w:val="24"/>
          <w:lang w:eastAsia="en-US"/>
        </w:rPr>
        <w:t>a politique monétaire devrait jouer un rôle central si la reprise économique était plus lente que prévu, car la marge de manœuvre pour augmenter davantage les déficits budgétaires est limitée</w:t>
      </w:r>
      <w:r w:rsidR="00050A14" w:rsidRPr="00C71EB2">
        <w:rPr>
          <w:rFonts w:ascii="Times New Roman" w:hAnsi="Times New Roman" w:cs="Times New Roman"/>
          <w:sz w:val="24"/>
          <w:szCs w:val="24"/>
          <w:lang w:eastAsia="en-US"/>
        </w:rPr>
        <w:t xml:space="preserve">… </w:t>
      </w:r>
      <w:r w:rsidR="00050A14" w:rsidRPr="00C71EB2">
        <w:rPr>
          <w:rFonts w:ascii="Times New Roman" w:hAnsi="Times New Roman" w:cs="Times New Roman"/>
          <w:i/>
          <w:iCs/>
          <w:sz w:val="24"/>
          <w:szCs w:val="24"/>
          <w:lang w:eastAsia="en-US"/>
        </w:rPr>
        <w:t>13. Le retour au plafond de déficit régional de 3 % du PIB devrait prendre 3 ans, en moyenne. Dans le scénario de base, l'assainissement à moyen terme repose essentiellement sur le retrait des mesures de dépenses courantes introduites pendant la crise. L'augmentation modérée du ratio des recettes reflète la levée attendue de la fermeture des frontières du Nigéria (qui devrait améliorer la collecte douanière au Bénin et au Niger), ainsi que certaines mesures fiscales prises dans d'autres pays (par exemple, la numérisation et l'élargissement de l'assiette au Sénégal). Le financement proviendrait essentiellement du marché régional, avec moins de 40 % du déficit budgétaire couvert par les flux officiels dans les années à venir, contre environ deux tiers en 2020 et 54 % sur 2015-19</w:t>
      </w:r>
      <w:r w:rsidR="00050A14">
        <w:rPr>
          <w:rFonts w:ascii="Times New Roman" w:hAnsi="Times New Roman" w:cs="Times New Roman"/>
          <w:sz w:val="24"/>
          <w:szCs w:val="24"/>
          <w:lang w:eastAsia="en-US"/>
        </w:rPr>
        <w:t xml:space="preserve"> »</w:t>
      </w:r>
      <w:r w:rsidR="00050A14">
        <w:rPr>
          <w:rStyle w:val="Appelnotedebasdep"/>
          <w:rFonts w:ascii="Times New Roman" w:hAnsi="Times New Roman" w:cs="Times New Roman"/>
          <w:sz w:val="24"/>
          <w:szCs w:val="24"/>
          <w:lang w:eastAsia="en-US"/>
        </w:rPr>
        <w:footnoteReference w:id="6"/>
      </w:r>
      <w:r w:rsidR="00050A14" w:rsidRPr="00C71EB2">
        <w:rPr>
          <w:rFonts w:ascii="Times New Roman" w:hAnsi="Times New Roman" w:cs="Times New Roman"/>
          <w:sz w:val="24"/>
          <w:szCs w:val="24"/>
          <w:lang w:eastAsia="en-US"/>
        </w:rPr>
        <w:t>.</w:t>
      </w:r>
      <w:r w:rsidR="000D5B79">
        <w:rPr>
          <w:rFonts w:ascii="Times New Roman" w:hAnsi="Times New Roman" w:cs="Times New Roman"/>
          <w:sz w:val="24"/>
          <w:szCs w:val="24"/>
          <w:lang w:eastAsia="en-US"/>
        </w:rPr>
        <w:t xml:space="preserve"> </w:t>
      </w:r>
    </w:p>
    <w:p w14:paraId="3698014F" w14:textId="77777777" w:rsidR="006B02DB" w:rsidRDefault="006B02DB" w:rsidP="000D5B79">
      <w:pPr>
        <w:jc w:val="both"/>
        <w:rPr>
          <w:rFonts w:ascii="Times New Roman" w:hAnsi="Times New Roman" w:cs="Times New Roman"/>
          <w:sz w:val="24"/>
          <w:szCs w:val="24"/>
          <w:lang w:eastAsia="en-US"/>
        </w:rPr>
      </w:pPr>
    </w:p>
    <w:p w14:paraId="44D474BD" w14:textId="7FDCC2A0" w:rsidR="000D5B79" w:rsidRDefault="006B02DB" w:rsidP="000D5B7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 FMI </w:t>
      </w:r>
      <w:r w:rsidR="000D5B79">
        <w:rPr>
          <w:rFonts w:ascii="Times New Roman" w:hAnsi="Times New Roman" w:cs="Times New Roman"/>
          <w:sz w:val="24"/>
          <w:szCs w:val="24"/>
          <w:lang w:eastAsia="en-US"/>
        </w:rPr>
        <w:t xml:space="preserve">précise ensuite que </w:t>
      </w:r>
      <w:r w:rsidRPr="00741096">
        <w:rPr>
          <w:rFonts w:ascii="Times New Roman" w:hAnsi="Times New Roman" w:cs="Times New Roman"/>
          <w:sz w:val="24"/>
          <w:szCs w:val="24"/>
          <w:lang w:eastAsia="en-US"/>
        </w:rPr>
        <w:t xml:space="preserve">le marché financier régional dépend essentiellement des prêteurs régionaux et surtout des titres d'Etat </w:t>
      </w:r>
      <w:r>
        <w:rPr>
          <w:rFonts w:ascii="Times New Roman" w:hAnsi="Times New Roman" w:cs="Times New Roman"/>
          <w:sz w:val="24"/>
          <w:szCs w:val="24"/>
          <w:lang w:eastAsia="en-US"/>
        </w:rPr>
        <w:t xml:space="preserve">: </w:t>
      </w:r>
      <w:r w:rsidR="00C1404B">
        <w:rPr>
          <w:rFonts w:ascii="Times New Roman" w:hAnsi="Times New Roman" w:cs="Times New Roman"/>
          <w:sz w:val="24"/>
          <w:szCs w:val="24"/>
          <w:lang w:eastAsia="en-US"/>
        </w:rPr>
        <w:t xml:space="preserve">« </w:t>
      </w:r>
      <w:r w:rsidR="008106A9" w:rsidRPr="00741096">
        <w:rPr>
          <w:rFonts w:ascii="Times New Roman" w:hAnsi="Times New Roman" w:cs="Times New Roman"/>
          <w:i/>
          <w:iCs/>
          <w:sz w:val="24"/>
          <w:szCs w:val="24"/>
          <w:lang w:eastAsia="en-US"/>
        </w:rPr>
        <w:t xml:space="preserve">Le marché des titres souverains de l'UEMOA, dans sa forme actuelle, a été lancé en 2001, suite à l'interdiction du financement direct des gouvernements par les banques centrales. Les gouvernements peuvent émettre des bons du Trésor avec des échéances de 1 à 24 mois ou des obligations avec des échéances allant de 3 à 10 ans. Les bons du Trésor sont émis exclusivement par adjudication, tandis que les obligations, y compris les Sukuks conformes aux principes de la finance islamique, peuvent être émises soit </w:t>
      </w:r>
      <w:r w:rsidR="008106A9" w:rsidRPr="00741096">
        <w:rPr>
          <w:rFonts w:ascii="Times New Roman" w:hAnsi="Times New Roman" w:cs="Times New Roman"/>
          <w:i/>
          <w:iCs/>
          <w:sz w:val="24"/>
          <w:szCs w:val="24"/>
          <w:lang w:eastAsia="en-US"/>
        </w:rPr>
        <w:lastRenderedPageBreak/>
        <w:t>par adjudication, soit par syndication. Les adjudications sont organisées par l'Agence UMOA Titres (AUT), les titres étant compensés et déposés à la banque centrale régionale (BCEAO). En revanche, les émissions syndiquées sont facilitées et supervisées par le régulateur du marché financier (CREPMF), les titres étant cotés à la bourse régionale des valeurs mobilières (BRVM) et compensés et déposés à DC/BR, qui est le dépositaire central de titres associé à la BRVM. Les différences dans les caractéristiques des produits, notamment le fait que les instruments adjugés exigent de plus en plus un remboursement in fine alors que les instruments syndiqués sont amortis, ajoutent à la segmentation entre les deux formes d'émissions. Fin 2019, l'encours des titres publics émis au sein de l'UEMOA représentait 12,5% du PIB régional et 84,4 % de la dette intérieure des gouvernements, dont 61 % émis sur le segment des adjudications du marché régional et le reste par syndication. Les banques ont été les principaux acheteurs des émissions souveraines, détenant 81,2 pour cent de l'encours à fin 2019, le reste étant détenu par des fonds communs de placement ou des investisseurs institutionnels, presque tous issus de l'UEMOA. Le marché secondaire des titres publics de l'UEMOA est relativement peu profond, manquant à la fois de profondeur et de liquidité. L'achat et la conservation restent la stratégie dom</w:t>
      </w:r>
      <w:r w:rsidR="008106A9" w:rsidRPr="00C71EB2">
        <w:rPr>
          <w:rFonts w:ascii="Times New Roman" w:hAnsi="Times New Roman" w:cs="Times New Roman"/>
          <w:i/>
          <w:iCs/>
          <w:sz w:val="24"/>
          <w:szCs w:val="24"/>
          <w:lang w:eastAsia="en-US"/>
        </w:rPr>
        <w:t>inante des banques dans le contexte d'une base d'investisseurs étroite</w:t>
      </w:r>
      <w:r w:rsidR="00CE7B55">
        <w:rPr>
          <w:rFonts w:ascii="Times New Roman" w:hAnsi="Times New Roman" w:cs="Times New Roman"/>
          <w:i/>
          <w:iCs/>
          <w:sz w:val="24"/>
          <w:szCs w:val="24"/>
          <w:lang w:eastAsia="en-US"/>
        </w:rPr>
        <w:t xml:space="preserve"> </w:t>
      </w:r>
      <w:r w:rsidR="00790F16" w:rsidRPr="00790F16">
        <w:rPr>
          <w:rFonts w:ascii="Times New Roman" w:hAnsi="Times New Roman" w:cs="Times New Roman"/>
          <w:sz w:val="24"/>
          <w:szCs w:val="24"/>
          <w:lang w:eastAsia="en-US"/>
        </w:rPr>
        <w:t>»</w:t>
      </w:r>
      <w:r w:rsidR="008106A9" w:rsidRPr="00C71EB2">
        <w:rPr>
          <w:rFonts w:ascii="Times New Roman" w:hAnsi="Times New Roman" w:cs="Times New Roman"/>
          <w:sz w:val="24"/>
          <w:szCs w:val="24"/>
          <w:lang w:eastAsia="en-US"/>
        </w:rPr>
        <w:t xml:space="preserve">. </w:t>
      </w:r>
    </w:p>
    <w:p w14:paraId="032791AC" w14:textId="77777777" w:rsidR="000D5B79" w:rsidRDefault="000D5B79" w:rsidP="000D5B79">
      <w:pPr>
        <w:jc w:val="both"/>
        <w:rPr>
          <w:rFonts w:ascii="Times New Roman" w:hAnsi="Times New Roman" w:cs="Times New Roman"/>
          <w:sz w:val="24"/>
          <w:szCs w:val="24"/>
          <w:lang w:eastAsia="en-US"/>
        </w:rPr>
      </w:pPr>
    </w:p>
    <w:p w14:paraId="216A919D" w14:textId="7761F179" w:rsidR="00C1404B" w:rsidRDefault="008106A9" w:rsidP="000D5B79">
      <w:pPr>
        <w:jc w:val="both"/>
        <w:rPr>
          <w:rFonts w:ascii="Times New Roman" w:eastAsia="Times New Roman" w:hAnsi="Times New Roman" w:cs="Times New Roman"/>
          <w:sz w:val="24"/>
          <w:szCs w:val="24"/>
        </w:rPr>
      </w:pPr>
      <w:r w:rsidRPr="00C71EB2">
        <w:rPr>
          <w:rFonts w:ascii="Times New Roman" w:hAnsi="Times New Roman" w:cs="Times New Roman"/>
          <w:sz w:val="24"/>
          <w:szCs w:val="24"/>
          <w:lang w:eastAsia="en-US"/>
        </w:rPr>
        <w:t>La faible participation des particuliers sur le marché secondaire semble s'expliquer par l'absence de garanties en cas de faillite des banques</w:t>
      </w:r>
      <w:r w:rsidR="00CE7B55">
        <w:rPr>
          <w:rFonts w:ascii="Times New Roman" w:hAnsi="Times New Roman" w:cs="Times New Roman"/>
          <w:sz w:val="24"/>
          <w:szCs w:val="24"/>
          <w:lang w:eastAsia="en-US"/>
        </w:rPr>
        <w:t xml:space="preserve"> </w:t>
      </w:r>
      <w:r w:rsidRPr="00C71EB2">
        <w:rPr>
          <w:rFonts w:ascii="Times New Roman" w:hAnsi="Times New Roman" w:cs="Times New Roman"/>
          <w:sz w:val="24"/>
          <w:szCs w:val="24"/>
          <w:lang w:eastAsia="en-US"/>
        </w:rPr>
        <w:t xml:space="preserve">: </w:t>
      </w:r>
      <w:r w:rsidR="00790F16">
        <w:rPr>
          <w:rFonts w:ascii="Times New Roman" w:hAnsi="Times New Roman" w:cs="Times New Roman"/>
          <w:sz w:val="24"/>
          <w:szCs w:val="24"/>
          <w:lang w:eastAsia="en-US"/>
        </w:rPr>
        <w:t xml:space="preserve">« </w:t>
      </w:r>
      <w:r w:rsidRPr="00C71EB2">
        <w:rPr>
          <w:rFonts w:ascii="Times New Roman" w:hAnsi="Times New Roman" w:cs="Times New Roman"/>
          <w:i/>
          <w:iCs/>
          <w:sz w:val="24"/>
          <w:szCs w:val="24"/>
          <w:lang w:eastAsia="en-US"/>
        </w:rPr>
        <w:t>Il existe un manque de clarté concernant les pouvoirs de résolution des difficultés bancaires dans les pays de l'Union économique et monétaire ouest-africaine (UEMOA), où la résolution de ces difficultés est une responsabilité conjointe des autorités nationales et régionales, mais il n'existe pas de</w:t>
      </w:r>
      <w:r w:rsidR="000D5B79">
        <w:rPr>
          <w:rFonts w:ascii="Times New Roman" w:hAnsi="Times New Roman" w:cs="Times New Roman"/>
          <w:i/>
          <w:iCs/>
          <w:sz w:val="24"/>
          <w:szCs w:val="24"/>
          <w:lang w:eastAsia="en-US"/>
        </w:rPr>
        <w:t xml:space="preserve"> </w:t>
      </w:r>
      <w:r w:rsidRPr="00C71EB2">
        <w:rPr>
          <w:rFonts w:ascii="Times New Roman" w:hAnsi="Times New Roman" w:cs="Times New Roman"/>
          <w:i/>
          <w:iCs/>
          <w:sz w:val="24"/>
          <w:szCs w:val="24"/>
          <w:lang w:eastAsia="en-US"/>
        </w:rPr>
        <w:t>procédure claire et limitée dans le temps pour sauver une banque en faillite… Même lorsque des systèmes d'assurance-dépôts existent, il est à craindre que nombre d'entre eux restent sous-financés et que, dans une situation de détresse financière, ils ne soient pas prêts à couvrir 80 % des dépôts des particuliers dans les banques systémiques</w:t>
      </w:r>
      <w:r w:rsidR="00790F16">
        <w:rPr>
          <w:rFonts w:ascii="Times New Roman" w:hAnsi="Times New Roman" w:cs="Times New Roman"/>
          <w:sz w:val="24"/>
          <w:szCs w:val="24"/>
          <w:lang w:eastAsia="en-US"/>
        </w:rPr>
        <w:t xml:space="preserve"> »</w:t>
      </w:r>
      <w:r w:rsidRPr="00C71EB2">
        <w:rPr>
          <w:rFonts w:ascii="Times New Roman" w:hAnsi="Times New Roman" w:cs="Times New Roman"/>
          <w:sz w:val="24"/>
          <w:szCs w:val="24"/>
          <w:lang w:eastAsia="en-US"/>
        </w:rPr>
        <w:t xml:space="preserve">. Autrement dit les titres d'Etat souscrits essentiellement par les banques ont pour effet d'augmenter leurs </w:t>
      </w:r>
      <w:r w:rsidR="00CE7B55">
        <w:rPr>
          <w:rFonts w:ascii="Times New Roman" w:hAnsi="Times New Roman" w:cs="Times New Roman"/>
          <w:sz w:val="24"/>
          <w:szCs w:val="24"/>
          <w:lang w:eastAsia="en-US"/>
        </w:rPr>
        <w:t>profits</w:t>
      </w:r>
      <w:r w:rsidRPr="00C71EB2">
        <w:rPr>
          <w:rFonts w:ascii="Times New Roman" w:hAnsi="Times New Roman" w:cs="Times New Roman"/>
          <w:sz w:val="24"/>
          <w:szCs w:val="24"/>
          <w:lang w:eastAsia="en-US"/>
        </w:rPr>
        <w:t xml:space="preserve"> mais ne mobilisent pas l'épargne des entreprises et des ménages qui doivent cependant payer de lourds taux d'intérêt aux banques. En effet, </w:t>
      </w:r>
      <w:r w:rsidR="00C1404B">
        <w:rPr>
          <w:rFonts w:ascii="Times New Roman" w:hAnsi="Times New Roman" w:cs="Times New Roman"/>
          <w:sz w:val="24"/>
          <w:szCs w:val="24"/>
          <w:lang w:eastAsia="en-US"/>
        </w:rPr>
        <w:t xml:space="preserve">d'un côté, </w:t>
      </w:r>
      <w:r w:rsidRPr="00C71EB2">
        <w:rPr>
          <w:rFonts w:ascii="Times New Roman" w:hAnsi="Times New Roman" w:cs="Times New Roman"/>
          <w:sz w:val="24"/>
          <w:szCs w:val="24"/>
          <w:lang w:eastAsia="en-US"/>
        </w:rPr>
        <w:t>d'après le rapport de la BCEAO de mars 2020</w:t>
      </w:r>
      <w:r w:rsidR="006B02DB">
        <w:rPr>
          <w:rFonts w:ascii="Times New Roman" w:hAnsi="Times New Roman" w:cs="Times New Roman"/>
          <w:sz w:val="24"/>
          <w:szCs w:val="24"/>
          <w:lang w:eastAsia="en-US"/>
        </w:rPr>
        <w:t>,</w:t>
      </w:r>
      <w:r w:rsidRPr="00C71EB2">
        <w:rPr>
          <w:rFonts w:ascii="Times New Roman" w:hAnsi="Times New Roman" w:cs="Times New Roman"/>
          <w:sz w:val="24"/>
          <w:szCs w:val="24"/>
          <w:lang w:eastAsia="en-US"/>
        </w:rPr>
        <w:t xml:space="preserve"> </w:t>
      </w:r>
      <w:r w:rsidR="00790F16">
        <w:rPr>
          <w:rFonts w:ascii="Times New Roman" w:hAnsi="Times New Roman" w:cs="Times New Roman"/>
          <w:sz w:val="24"/>
          <w:szCs w:val="24"/>
          <w:lang w:eastAsia="en-US"/>
        </w:rPr>
        <w:t xml:space="preserve">« </w:t>
      </w:r>
      <w:r w:rsidRPr="00C71EB2">
        <w:rPr>
          <w:rFonts w:ascii="Times New Roman" w:eastAsia="Arial" w:hAnsi="Times New Roman" w:cs="Times New Roman"/>
          <w:i/>
          <w:sz w:val="24"/>
          <w:szCs w:val="24"/>
        </w:rPr>
        <w:t>Le niveau moyen hebdomadaire sur l'année des liquidités offertes aux banques par l'Institut d'émission dans le cadre des adjudications est ressorti à 3.554,8 milliards en 2019, en hausse de 14,0% par rapport à 2018</w:t>
      </w:r>
      <w:bookmarkStart w:id="0" w:name="_Hlk73568130"/>
      <w:r w:rsidRPr="00C71EB2">
        <w:rPr>
          <w:rFonts w:ascii="Times New Roman" w:eastAsia="Arial" w:hAnsi="Times New Roman" w:cs="Times New Roman"/>
          <w:i/>
          <w:sz w:val="24"/>
          <w:szCs w:val="24"/>
        </w:rPr>
        <w:t>. Le taux moyen pondéré desdites opérations s'est inscrit en baisse de 35,1 points de base pour se situer à 3,5112% en 2019</w:t>
      </w:r>
      <w:bookmarkEnd w:id="0"/>
      <w:r w:rsidR="00C1404B">
        <w:rPr>
          <w:rFonts w:ascii="Times New Roman" w:eastAsia="Arial" w:hAnsi="Times New Roman" w:cs="Times New Roman"/>
          <w:i/>
          <w:sz w:val="24"/>
          <w:szCs w:val="24"/>
        </w:rPr>
        <w:t xml:space="preserve"> </w:t>
      </w:r>
      <w:r w:rsidR="00C1404B" w:rsidRPr="00C1404B">
        <w:rPr>
          <w:rFonts w:ascii="Times New Roman" w:eastAsia="Arial" w:hAnsi="Times New Roman" w:cs="Times New Roman"/>
          <w:iCs/>
          <w:sz w:val="24"/>
          <w:szCs w:val="24"/>
        </w:rPr>
        <w:t>»</w:t>
      </w:r>
      <w:r w:rsidR="00790F16">
        <w:rPr>
          <w:rStyle w:val="Appelnotedebasdep"/>
          <w:rFonts w:ascii="Times New Roman" w:eastAsia="Arial" w:hAnsi="Times New Roman" w:cs="Times New Roman"/>
          <w:iCs/>
          <w:sz w:val="24"/>
          <w:szCs w:val="24"/>
        </w:rPr>
        <w:footnoteReference w:id="7"/>
      </w:r>
      <w:r w:rsidRPr="00C71EB2">
        <w:rPr>
          <w:rFonts w:ascii="Times New Roman" w:eastAsia="Arial" w:hAnsi="Times New Roman" w:cs="Times New Roman"/>
          <w:i/>
          <w:sz w:val="24"/>
          <w:szCs w:val="24"/>
        </w:rPr>
        <w:t xml:space="preserve">. </w:t>
      </w:r>
      <w:r w:rsidR="00835F1A" w:rsidRPr="00C71EB2">
        <w:rPr>
          <w:rFonts w:ascii="Times New Roman" w:eastAsia="Arial" w:hAnsi="Times New Roman" w:cs="Times New Roman"/>
          <w:iCs/>
          <w:sz w:val="24"/>
          <w:szCs w:val="24"/>
        </w:rPr>
        <w:t>D</w:t>
      </w:r>
      <w:r w:rsidR="00C1404B">
        <w:rPr>
          <w:rFonts w:ascii="Times New Roman" w:eastAsia="Arial" w:hAnsi="Times New Roman" w:cs="Times New Roman"/>
          <w:iCs/>
          <w:sz w:val="24"/>
          <w:szCs w:val="24"/>
        </w:rPr>
        <w:t>e l'</w:t>
      </w:r>
      <w:r w:rsidR="00835F1A" w:rsidRPr="00C71EB2">
        <w:rPr>
          <w:rFonts w:ascii="Times New Roman" w:eastAsia="Arial" w:hAnsi="Times New Roman" w:cs="Times New Roman"/>
          <w:iCs/>
          <w:sz w:val="24"/>
          <w:szCs w:val="24"/>
        </w:rPr>
        <w:t>autre</w:t>
      </w:r>
      <w:r w:rsidR="006B02DB">
        <w:rPr>
          <w:rFonts w:ascii="Times New Roman" w:eastAsia="Arial" w:hAnsi="Times New Roman" w:cs="Times New Roman"/>
          <w:iCs/>
          <w:sz w:val="24"/>
          <w:szCs w:val="24"/>
        </w:rPr>
        <w:t>,</w:t>
      </w:r>
      <w:r w:rsidR="00835F1A" w:rsidRPr="00C71EB2">
        <w:rPr>
          <w:rFonts w:ascii="Times New Roman" w:eastAsia="Arial" w:hAnsi="Times New Roman" w:cs="Times New Roman"/>
          <w:i/>
          <w:sz w:val="24"/>
          <w:szCs w:val="24"/>
        </w:rPr>
        <w:t xml:space="preserve"> </w:t>
      </w:r>
      <w:r w:rsidR="00835F1A" w:rsidRPr="00C71EB2">
        <w:rPr>
          <w:rFonts w:ascii="Times New Roman" w:hAnsi="Times New Roman" w:cs="Times New Roman"/>
          <w:sz w:val="24"/>
          <w:szCs w:val="24"/>
        </w:rPr>
        <w:t>la BIDC (</w:t>
      </w:r>
      <w:r w:rsidR="00835F1A" w:rsidRPr="00C71EB2">
        <w:rPr>
          <w:rFonts w:ascii="Times New Roman" w:eastAsia="Times New Roman" w:hAnsi="Times New Roman" w:cs="Times New Roman"/>
          <w:kern w:val="36"/>
          <w:sz w:val="24"/>
          <w:szCs w:val="24"/>
        </w:rPr>
        <w:t>Banque d’Investissement et de Développement de la CEDEAO</w:t>
      </w:r>
      <w:r w:rsidR="00835F1A" w:rsidRPr="00C71EB2">
        <w:rPr>
          <w:rFonts w:ascii="Times New Roman" w:hAnsi="Times New Roman" w:cs="Times New Roman"/>
          <w:sz w:val="24"/>
          <w:szCs w:val="24"/>
        </w:rPr>
        <w:t xml:space="preserve">) a levé 50 milliards de FCFA à la mi-mai 2021 sur le marché obligataire régional qui </w:t>
      </w:r>
      <w:r w:rsidR="00835F1A" w:rsidRPr="00C71EB2">
        <w:rPr>
          <w:rFonts w:ascii="Times New Roman" w:eastAsia="Times New Roman" w:hAnsi="Times New Roman" w:cs="Times New Roman"/>
          <w:sz w:val="24"/>
          <w:szCs w:val="24"/>
        </w:rPr>
        <w:t>sera amorti sur une période de sept ans au taux d’intérêt annuel de 6,50% net</w:t>
      </w:r>
      <w:r w:rsidR="00A713E9">
        <w:rPr>
          <w:rStyle w:val="Appelnotedebasdep"/>
          <w:rFonts w:ascii="Times New Roman" w:eastAsia="Times New Roman" w:hAnsi="Times New Roman" w:cs="Times New Roman"/>
          <w:sz w:val="24"/>
          <w:szCs w:val="24"/>
        </w:rPr>
        <w:footnoteReference w:id="8"/>
      </w:r>
      <w:r w:rsidR="00835F1A" w:rsidRPr="00C71EB2">
        <w:rPr>
          <w:rFonts w:ascii="Times New Roman" w:eastAsia="Times New Roman" w:hAnsi="Times New Roman" w:cs="Times New Roman"/>
          <w:sz w:val="24"/>
          <w:szCs w:val="24"/>
        </w:rPr>
        <w:t xml:space="preserve">. </w:t>
      </w:r>
    </w:p>
    <w:p w14:paraId="740DF6AF" w14:textId="77777777" w:rsidR="00C1404B" w:rsidRDefault="00C1404B" w:rsidP="000D5B79">
      <w:pPr>
        <w:jc w:val="both"/>
        <w:rPr>
          <w:rFonts w:ascii="Times New Roman" w:eastAsia="Times New Roman" w:hAnsi="Times New Roman" w:cs="Times New Roman"/>
          <w:sz w:val="24"/>
          <w:szCs w:val="24"/>
        </w:rPr>
      </w:pPr>
    </w:p>
    <w:p w14:paraId="4320F748" w14:textId="4640DD31" w:rsidR="00C1404B" w:rsidRDefault="00726B06" w:rsidP="000D5B79">
      <w:pPr>
        <w:jc w:val="both"/>
        <w:rPr>
          <w:rFonts w:ascii="Times New Roman" w:eastAsia="Times New Roman" w:hAnsi="Times New Roman" w:cs="Times New Roman"/>
          <w:sz w:val="24"/>
          <w:szCs w:val="24"/>
        </w:rPr>
      </w:pPr>
      <w:r w:rsidRPr="00C71EB2">
        <w:rPr>
          <w:rFonts w:ascii="Times New Roman" w:eastAsia="Times New Roman" w:hAnsi="Times New Roman" w:cs="Times New Roman"/>
          <w:sz w:val="24"/>
          <w:szCs w:val="24"/>
        </w:rPr>
        <w:t xml:space="preserve">Quant au taux d'intérêts débiteurs payés par les emprunteurs il faut se méfier des sources. D'un côté le rapport précité de 2020 sur les conditions des banques dans l'UEMOA en 2019 affiche un taux moyen de 6,68% (allant de 5,81% au Sénégal à 9,39% au Niger) mais précise que </w:t>
      </w:r>
    </w:p>
    <w:p w14:paraId="2A7E3577" w14:textId="77777777" w:rsidR="006B02DB" w:rsidRDefault="00790F16" w:rsidP="000D5B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6B06" w:rsidRPr="00C71EB2">
        <w:rPr>
          <w:rFonts w:ascii="Times New Roman" w:hAnsi="Times New Roman" w:cs="Times New Roman"/>
          <w:i/>
          <w:iCs/>
          <w:sz w:val="24"/>
          <w:szCs w:val="24"/>
        </w:rPr>
        <w:t>Le taux d'intérêt moyen est calculé hors commissions et charges liées à la mise en place des crédits bancaires</w:t>
      </w:r>
      <w:r w:rsidR="00C1404B">
        <w:rPr>
          <w:rFonts w:ascii="Times New Roman" w:eastAsia="Times New Roman" w:hAnsi="Times New Roman" w:cs="Times New Roman"/>
          <w:sz w:val="24"/>
          <w:szCs w:val="24"/>
        </w:rPr>
        <w:t xml:space="preserve"> »</w:t>
      </w:r>
      <w:r w:rsidR="00726B06" w:rsidRPr="00C71EB2">
        <w:rPr>
          <w:rFonts w:ascii="Times New Roman" w:eastAsia="Times New Roman" w:hAnsi="Times New Roman" w:cs="Times New Roman"/>
          <w:sz w:val="24"/>
          <w:szCs w:val="24"/>
        </w:rPr>
        <w:t xml:space="preserve">. Effectivement </w:t>
      </w:r>
      <w:r w:rsidR="00876128" w:rsidRPr="00C71EB2">
        <w:rPr>
          <w:rFonts w:ascii="Times New Roman" w:eastAsia="Times New Roman" w:hAnsi="Times New Roman" w:cs="Times New Roman"/>
          <w:sz w:val="24"/>
          <w:szCs w:val="24"/>
        </w:rPr>
        <w:t xml:space="preserve">l'article de Allé Nar Diop paru en 2019 dans la Revue Interventions Economiques sur </w:t>
      </w:r>
      <w:r w:rsidR="00C1404B">
        <w:rPr>
          <w:rFonts w:ascii="Times New Roman" w:eastAsia="Times New Roman" w:hAnsi="Times New Roman" w:cs="Times New Roman"/>
          <w:sz w:val="24"/>
          <w:szCs w:val="24"/>
        </w:rPr>
        <w:t xml:space="preserve">« </w:t>
      </w:r>
      <w:r w:rsidR="00876128" w:rsidRPr="00C71EB2">
        <w:rPr>
          <w:rFonts w:ascii="Times New Roman" w:hAnsi="Times New Roman" w:cs="Times New Roman"/>
          <w:i/>
          <w:iCs/>
          <w:sz w:val="24"/>
          <w:szCs w:val="24"/>
        </w:rPr>
        <w:t>Taux d’intérêt et risque de crédit</w:t>
      </w:r>
      <w:r w:rsidR="00876128" w:rsidRPr="00C71EB2">
        <w:rPr>
          <w:rFonts w:ascii="Times New Roman" w:hAnsi="Times New Roman" w:cs="Times New Roman"/>
          <w:i/>
          <w:iCs/>
          <w:sz w:val="24"/>
          <w:szCs w:val="24"/>
        </w:rPr>
        <w:t xml:space="preserve"> </w:t>
      </w:r>
      <w:r w:rsidR="00876128" w:rsidRPr="00C71EB2">
        <w:rPr>
          <w:rFonts w:ascii="Times New Roman" w:hAnsi="Times New Roman" w:cs="Times New Roman"/>
          <w:i/>
          <w:iCs/>
          <w:sz w:val="24"/>
          <w:szCs w:val="24"/>
        </w:rPr>
        <w:t>: analyse du</w:t>
      </w:r>
      <w:r w:rsidR="00876128" w:rsidRPr="00C71EB2">
        <w:rPr>
          <w:rFonts w:ascii="Times New Roman" w:hAnsi="Times New Roman" w:cs="Times New Roman"/>
          <w:i/>
          <w:iCs/>
          <w:sz w:val="24"/>
          <w:szCs w:val="24"/>
        </w:rPr>
        <w:t xml:space="preserve"> </w:t>
      </w:r>
      <w:r w:rsidR="00876128" w:rsidRPr="00C71EB2">
        <w:rPr>
          <w:rFonts w:ascii="Times New Roman" w:hAnsi="Times New Roman" w:cs="Times New Roman"/>
          <w:i/>
          <w:iCs/>
          <w:sz w:val="24"/>
          <w:szCs w:val="24"/>
        </w:rPr>
        <w:t>comportement des banques en relation avec les</w:t>
      </w:r>
      <w:r w:rsidR="00876128" w:rsidRPr="00C71EB2">
        <w:rPr>
          <w:rFonts w:ascii="Times New Roman" w:hAnsi="Times New Roman" w:cs="Times New Roman"/>
          <w:i/>
          <w:iCs/>
          <w:sz w:val="24"/>
          <w:szCs w:val="24"/>
        </w:rPr>
        <w:t xml:space="preserve"> </w:t>
      </w:r>
      <w:r w:rsidR="00876128" w:rsidRPr="00C71EB2">
        <w:rPr>
          <w:rFonts w:ascii="Times New Roman" w:hAnsi="Times New Roman" w:cs="Times New Roman"/>
          <w:i/>
          <w:iCs/>
          <w:sz w:val="24"/>
          <w:szCs w:val="24"/>
        </w:rPr>
        <w:t>petites et moyennes entreprises sénégalaises</w:t>
      </w:r>
      <w:r w:rsidR="00C1404B">
        <w:rPr>
          <w:rFonts w:ascii="Times New Roman" w:eastAsia="Times New Roman" w:hAnsi="Times New Roman" w:cs="Times New Roman"/>
          <w:sz w:val="24"/>
          <w:szCs w:val="24"/>
        </w:rPr>
        <w:t xml:space="preserve"> »</w:t>
      </w:r>
      <w:r>
        <w:rPr>
          <w:rStyle w:val="Appelnotedebasdep"/>
          <w:rFonts w:ascii="Times New Roman" w:eastAsia="Times New Roman" w:hAnsi="Times New Roman" w:cs="Times New Roman"/>
          <w:sz w:val="24"/>
          <w:szCs w:val="24"/>
        </w:rPr>
        <w:footnoteReference w:id="9"/>
      </w:r>
      <w:r w:rsidR="00876128" w:rsidRPr="00C71EB2">
        <w:rPr>
          <w:rFonts w:ascii="Times New Roman" w:eastAsia="Times New Roman" w:hAnsi="Times New Roman" w:cs="Times New Roman"/>
          <w:sz w:val="24"/>
          <w:szCs w:val="24"/>
        </w:rPr>
        <w:t xml:space="preserve"> conclut que </w:t>
      </w:r>
    </w:p>
    <w:p w14:paraId="46B41731" w14:textId="3523F16D" w:rsidR="00A11247" w:rsidRDefault="00C1404B" w:rsidP="000D5B79">
      <w:pPr>
        <w:jc w:val="both"/>
        <w:rPr>
          <w:rFonts w:ascii="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876128" w:rsidRPr="00C71EB2">
        <w:rPr>
          <w:rFonts w:ascii="Times New Roman" w:hAnsi="Times New Roman" w:cs="Times New Roman"/>
          <w:i/>
          <w:iCs/>
          <w:sz w:val="24"/>
          <w:szCs w:val="24"/>
        </w:rPr>
        <w:t>le taux facturé par les banques est en</w:t>
      </w:r>
      <w:r w:rsidR="00876128" w:rsidRPr="00C71EB2">
        <w:rPr>
          <w:rFonts w:ascii="Times New Roman" w:hAnsi="Times New Roman" w:cs="Times New Roman"/>
          <w:i/>
          <w:iCs/>
          <w:sz w:val="24"/>
          <w:szCs w:val="24"/>
        </w:rPr>
        <w:t xml:space="preserve"> </w:t>
      </w:r>
      <w:r w:rsidR="00876128" w:rsidRPr="00C71EB2">
        <w:rPr>
          <w:rFonts w:ascii="Times New Roman" w:hAnsi="Times New Roman" w:cs="Times New Roman"/>
          <w:i/>
          <w:iCs/>
          <w:sz w:val="24"/>
          <w:szCs w:val="24"/>
        </w:rPr>
        <w:t>moyenne de 14,308%. Il reste proche du taux d’usure qui est de 15% dans l’UEMOA</w:t>
      </w:r>
      <w:r>
        <w:rPr>
          <w:rFonts w:ascii="Times New Roman" w:hAnsi="Times New Roman" w:cs="Times New Roman"/>
          <w:i/>
          <w:iCs/>
          <w:sz w:val="24"/>
          <w:szCs w:val="24"/>
        </w:rPr>
        <w:t xml:space="preserve"> </w:t>
      </w:r>
      <w:r>
        <w:rPr>
          <w:rFonts w:ascii="Times New Roman" w:eastAsia="Times New Roman" w:hAnsi="Times New Roman" w:cs="Times New Roman"/>
          <w:sz w:val="24"/>
          <w:szCs w:val="24"/>
        </w:rPr>
        <w:t>»</w:t>
      </w:r>
      <w:r w:rsidR="00876128" w:rsidRPr="00C71EB2">
        <w:rPr>
          <w:rFonts w:ascii="Times New Roman" w:eastAsia="Times New Roman" w:hAnsi="Times New Roman" w:cs="Times New Roman"/>
          <w:sz w:val="24"/>
          <w:szCs w:val="24"/>
        </w:rPr>
        <w:t xml:space="preserve">, alors même que le Sénégal est présenté dans le rapport 2020 </w:t>
      </w:r>
      <w:r w:rsidR="000D5B79">
        <w:rPr>
          <w:rFonts w:ascii="Times New Roman" w:eastAsia="Times New Roman" w:hAnsi="Times New Roman" w:cs="Times New Roman"/>
          <w:sz w:val="24"/>
          <w:szCs w:val="24"/>
        </w:rPr>
        <w:lastRenderedPageBreak/>
        <w:t xml:space="preserve">précité </w:t>
      </w:r>
      <w:r w:rsidR="00876128" w:rsidRPr="00C71EB2">
        <w:rPr>
          <w:rFonts w:ascii="Times New Roman" w:eastAsia="Times New Roman" w:hAnsi="Times New Roman" w:cs="Times New Roman"/>
          <w:sz w:val="24"/>
          <w:szCs w:val="24"/>
        </w:rPr>
        <w:t xml:space="preserve">de la BCEAO comme celui où le taux moyen </w:t>
      </w:r>
      <w:r w:rsidR="00050A14">
        <w:rPr>
          <w:rFonts w:ascii="Times New Roman" w:eastAsia="Times New Roman" w:hAnsi="Times New Roman" w:cs="Times New Roman"/>
          <w:sz w:val="24"/>
          <w:szCs w:val="24"/>
        </w:rPr>
        <w:t xml:space="preserve">des prêts bancaires </w:t>
      </w:r>
      <w:r w:rsidR="00876128" w:rsidRPr="00C71EB2">
        <w:rPr>
          <w:rFonts w:ascii="Times New Roman" w:eastAsia="Times New Roman" w:hAnsi="Times New Roman" w:cs="Times New Roman"/>
          <w:sz w:val="24"/>
          <w:szCs w:val="24"/>
        </w:rPr>
        <w:t xml:space="preserve">est le plus faible </w:t>
      </w:r>
      <w:r>
        <w:rPr>
          <w:rFonts w:ascii="Times New Roman" w:eastAsia="Times New Roman" w:hAnsi="Times New Roman" w:cs="Times New Roman"/>
          <w:sz w:val="24"/>
          <w:szCs w:val="24"/>
        </w:rPr>
        <w:t>«</w:t>
      </w:r>
      <w:r w:rsidR="00876128" w:rsidRPr="00C71EB2">
        <w:rPr>
          <w:rFonts w:ascii="Times New Roman" w:hAnsi="Times New Roman" w:cs="Times New Roman"/>
          <w:i/>
          <w:iCs/>
          <w:sz w:val="24"/>
          <w:szCs w:val="24"/>
        </w:rPr>
        <w:t>hors commissions et charges liées à la mise en place des crédits bancaires</w:t>
      </w:r>
      <w:r>
        <w:rPr>
          <w:rFonts w:ascii="Times New Roman" w:hAnsi="Times New Roman" w:cs="Times New Roman"/>
          <w:i/>
          <w:iCs/>
          <w:sz w:val="24"/>
          <w:szCs w:val="24"/>
        </w:rPr>
        <w:t xml:space="preserve"> </w:t>
      </w:r>
      <w:r>
        <w:rPr>
          <w:rFonts w:ascii="Times New Roman" w:eastAsia="Times New Roman" w:hAnsi="Times New Roman" w:cs="Times New Roman"/>
          <w:sz w:val="24"/>
          <w:szCs w:val="24"/>
        </w:rPr>
        <w:t>»</w:t>
      </w:r>
      <w:r w:rsidR="00876128" w:rsidRPr="00C71EB2">
        <w:rPr>
          <w:rFonts w:ascii="Times New Roman" w:eastAsia="Times New Roman" w:hAnsi="Times New Roman" w:cs="Times New Roman"/>
          <w:sz w:val="24"/>
          <w:szCs w:val="24"/>
        </w:rPr>
        <w:t xml:space="preserve"> ! </w:t>
      </w:r>
      <w:r w:rsidR="00A11247" w:rsidRPr="00C71EB2">
        <w:rPr>
          <w:rFonts w:ascii="Times New Roman" w:hAnsi="Times New Roman" w:cs="Times New Roman"/>
          <w:sz w:val="24"/>
          <w:szCs w:val="24"/>
          <w:lang w:eastAsia="en-US"/>
        </w:rPr>
        <w:t xml:space="preserve">Autrement dit les titres d'Etat souscrits essentiellement par les banques ont pour effet d'augmenter leurs </w:t>
      </w:r>
      <w:r w:rsidR="00A713E9">
        <w:rPr>
          <w:rFonts w:ascii="Times New Roman" w:hAnsi="Times New Roman" w:cs="Times New Roman"/>
          <w:sz w:val="24"/>
          <w:szCs w:val="24"/>
          <w:lang w:eastAsia="en-US"/>
        </w:rPr>
        <w:t>profits</w:t>
      </w:r>
      <w:r w:rsidR="00A11247" w:rsidRPr="00C71EB2">
        <w:rPr>
          <w:rFonts w:ascii="Times New Roman" w:hAnsi="Times New Roman" w:cs="Times New Roman"/>
          <w:sz w:val="24"/>
          <w:szCs w:val="24"/>
          <w:lang w:eastAsia="en-US"/>
        </w:rPr>
        <w:t xml:space="preserve"> mais ne mobilisent pas l'épargne des entreprises et des ménages qui doivent cependant payer de </w:t>
      </w:r>
      <w:r w:rsidR="00C71EB2" w:rsidRPr="00C71EB2">
        <w:rPr>
          <w:rFonts w:ascii="Times New Roman" w:hAnsi="Times New Roman" w:cs="Times New Roman"/>
          <w:sz w:val="24"/>
          <w:szCs w:val="24"/>
          <w:lang w:eastAsia="en-US"/>
        </w:rPr>
        <w:t xml:space="preserve">très </w:t>
      </w:r>
      <w:r w:rsidR="00A11247" w:rsidRPr="00C71EB2">
        <w:rPr>
          <w:rFonts w:ascii="Times New Roman" w:hAnsi="Times New Roman" w:cs="Times New Roman"/>
          <w:sz w:val="24"/>
          <w:szCs w:val="24"/>
          <w:lang w:eastAsia="en-US"/>
        </w:rPr>
        <w:t xml:space="preserve">lourds taux d'intérêt aux banques. </w:t>
      </w:r>
      <w:r w:rsidR="0020190C">
        <w:rPr>
          <w:rFonts w:ascii="Times New Roman" w:hAnsi="Times New Roman" w:cs="Times New Roman"/>
          <w:sz w:val="24"/>
          <w:szCs w:val="24"/>
          <w:lang w:eastAsia="en-US"/>
        </w:rPr>
        <w:t>Ce</w:t>
      </w:r>
      <w:r w:rsidR="00050A14">
        <w:rPr>
          <w:rFonts w:ascii="Times New Roman" w:hAnsi="Times New Roman" w:cs="Times New Roman"/>
          <w:sz w:val="24"/>
          <w:szCs w:val="24"/>
          <w:lang w:eastAsia="en-US"/>
        </w:rPr>
        <w:t xml:space="preserve"> que </w:t>
      </w:r>
      <w:r w:rsidR="0020190C">
        <w:rPr>
          <w:rFonts w:ascii="Times New Roman" w:hAnsi="Times New Roman" w:cs="Times New Roman"/>
          <w:sz w:val="24"/>
          <w:szCs w:val="24"/>
          <w:lang w:eastAsia="en-US"/>
        </w:rPr>
        <w:t>confirm</w:t>
      </w:r>
      <w:r w:rsidR="00050A14">
        <w:rPr>
          <w:rFonts w:ascii="Times New Roman" w:hAnsi="Times New Roman" w:cs="Times New Roman"/>
          <w:sz w:val="24"/>
          <w:szCs w:val="24"/>
          <w:lang w:eastAsia="en-US"/>
        </w:rPr>
        <w:t>e</w:t>
      </w:r>
      <w:r w:rsidR="0020190C">
        <w:rPr>
          <w:rFonts w:ascii="Times New Roman" w:hAnsi="Times New Roman" w:cs="Times New Roman"/>
          <w:sz w:val="24"/>
          <w:szCs w:val="24"/>
          <w:lang w:eastAsia="en-US"/>
        </w:rPr>
        <w:t xml:space="preserve"> une étude de la Banque européenne d'investissement (BEI) de 2018 selon laquelle</w:t>
      </w:r>
      <w:r w:rsidR="00050A14">
        <w:rPr>
          <w:rFonts w:ascii="Times New Roman" w:hAnsi="Times New Roman" w:cs="Times New Roman"/>
          <w:sz w:val="24"/>
          <w:szCs w:val="24"/>
          <w:lang w:eastAsia="en-US"/>
        </w:rPr>
        <w:t xml:space="preserve">, en Afrique subsaharienne, </w:t>
      </w:r>
      <w:r w:rsidR="00851073">
        <w:rPr>
          <w:rFonts w:ascii="Times New Roman" w:hAnsi="Times New Roman" w:cs="Times New Roman"/>
          <w:sz w:val="24"/>
          <w:szCs w:val="24"/>
          <w:lang w:eastAsia="en-US"/>
        </w:rPr>
        <w:t xml:space="preserve">« </w:t>
      </w:r>
      <w:r w:rsidR="00851073" w:rsidRPr="00851073">
        <w:rPr>
          <w:rFonts w:ascii="Times New Roman" w:hAnsi="Times New Roman" w:cs="Times New Roman"/>
          <w:i/>
          <w:iCs/>
          <w:sz w:val="24"/>
          <w:szCs w:val="24"/>
          <w:lang w:eastAsia="en-US"/>
        </w:rPr>
        <w:t xml:space="preserve">Le ratio médian capital/actifs est d'environ 12 %, tandis que le rendement médian des fonds propres atteint le chiffre impressionnant de 21 %. Dans la plupart des pays d'Afrique subsaharienne, les niveaux de capitalisation restent supérieurs aux planchers réglementaires. La rentabilité est élevée parce que les banques ont tendance à investir des dépôts relativement bon marché dans des obligations d'État </w:t>
      </w:r>
      <w:r w:rsidR="00851073" w:rsidRPr="00851073">
        <w:rPr>
          <w:rFonts w:ascii="Times New Roman" w:hAnsi="Times New Roman" w:cs="Times New Roman"/>
          <w:i/>
          <w:iCs/>
          <w:sz w:val="24"/>
          <w:szCs w:val="24"/>
          <w:lang w:eastAsia="en-US"/>
        </w:rPr>
        <w:t xml:space="preserve">« </w:t>
      </w:r>
      <w:r w:rsidR="00851073" w:rsidRPr="00851073">
        <w:rPr>
          <w:rFonts w:ascii="Times New Roman" w:hAnsi="Times New Roman" w:cs="Times New Roman"/>
          <w:i/>
          <w:iCs/>
          <w:sz w:val="24"/>
          <w:szCs w:val="24"/>
          <w:lang w:eastAsia="en-US"/>
        </w:rPr>
        <w:t>sans risque</w:t>
      </w:r>
      <w:r w:rsidR="00851073" w:rsidRPr="00851073">
        <w:rPr>
          <w:rFonts w:ascii="Times New Roman" w:hAnsi="Times New Roman" w:cs="Times New Roman"/>
          <w:i/>
          <w:iCs/>
          <w:sz w:val="24"/>
          <w:szCs w:val="24"/>
          <w:lang w:eastAsia="en-US"/>
        </w:rPr>
        <w:t xml:space="preserve"> »</w:t>
      </w:r>
      <w:r w:rsidR="00851073" w:rsidRPr="00851073">
        <w:rPr>
          <w:rFonts w:ascii="Times New Roman" w:hAnsi="Times New Roman" w:cs="Times New Roman"/>
          <w:i/>
          <w:iCs/>
          <w:sz w:val="24"/>
          <w:szCs w:val="24"/>
          <w:lang w:eastAsia="en-US"/>
        </w:rPr>
        <w:t xml:space="preserve"> offrant un rendement relativement élevé, ce qui a pour effet d'attirer le crédit vers le secteur privé</w:t>
      </w:r>
      <w:r w:rsidR="008D1C9D">
        <w:rPr>
          <w:rFonts w:ascii="Times New Roman" w:hAnsi="Times New Roman" w:cs="Times New Roman"/>
          <w:sz w:val="24"/>
          <w:szCs w:val="24"/>
          <w:lang w:eastAsia="en-US"/>
        </w:rPr>
        <w:t xml:space="preserve">… </w:t>
      </w:r>
      <w:r w:rsidR="008D1C9D" w:rsidRPr="008D1C9D">
        <w:rPr>
          <w:rFonts w:ascii="Times New Roman" w:hAnsi="Times New Roman" w:cs="Times New Roman"/>
          <w:i/>
          <w:iCs/>
          <w:sz w:val="24"/>
          <w:szCs w:val="24"/>
          <w:lang w:eastAsia="en-US"/>
        </w:rPr>
        <w:t>Pour l'UEMOA le rendement des fonds propres après impôts était de 16% en 201</w:t>
      </w:r>
      <w:r w:rsidR="000D5B79">
        <w:rPr>
          <w:rFonts w:ascii="Times New Roman" w:hAnsi="Times New Roman" w:cs="Times New Roman"/>
          <w:i/>
          <w:iCs/>
          <w:sz w:val="24"/>
          <w:szCs w:val="24"/>
          <w:lang w:eastAsia="en-US"/>
        </w:rPr>
        <w:t>9</w:t>
      </w:r>
      <w:r w:rsidR="008D1C9D">
        <w:rPr>
          <w:rFonts w:ascii="Times New Roman" w:hAnsi="Times New Roman" w:cs="Times New Roman"/>
          <w:i/>
          <w:iCs/>
          <w:sz w:val="24"/>
          <w:szCs w:val="24"/>
          <w:lang w:eastAsia="en-US"/>
        </w:rPr>
        <w:t>… dont 22% en Côte d'Ivoire… grâce à une marge sur les taux d'intérêt de 7%, à égalité avec le reste de l'UEMOA</w:t>
      </w:r>
      <w:r w:rsidR="000D5B79">
        <w:rPr>
          <w:rFonts w:ascii="Times New Roman" w:hAnsi="Times New Roman" w:cs="Times New Roman"/>
          <w:i/>
          <w:iCs/>
          <w:sz w:val="24"/>
          <w:szCs w:val="24"/>
          <w:lang w:eastAsia="en-US"/>
        </w:rPr>
        <w:t xml:space="preserve"> </w:t>
      </w:r>
      <w:r w:rsidR="00851073">
        <w:rPr>
          <w:rFonts w:ascii="Times New Roman" w:hAnsi="Times New Roman" w:cs="Times New Roman"/>
          <w:sz w:val="24"/>
          <w:szCs w:val="24"/>
          <w:lang w:eastAsia="en-US"/>
        </w:rPr>
        <w:t>»</w:t>
      </w:r>
      <w:r w:rsidR="00851073" w:rsidRPr="00851073">
        <w:rPr>
          <w:rFonts w:ascii="Times New Roman" w:hAnsi="Times New Roman" w:cs="Times New Roman"/>
          <w:sz w:val="24"/>
          <w:szCs w:val="24"/>
          <w:lang w:eastAsia="en-US"/>
        </w:rPr>
        <w:t>.</w:t>
      </w:r>
      <w:r w:rsidR="00A11247" w:rsidRPr="00C71EB2">
        <w:rPr>
          <w:rFonts w:ascii="Times New Roman" w:hAnsi="Times New Roman" w:cs="Times New Roman"/>
          <w:sz w:val="24"/>
          <w:szCs w:val="24"/>
          <w:lang w:eastAsia="en-US"/>
        </w:rPr>
        <w:t xml:space="preserve"> </w:t>
      </w:r>
    </w:p>
    <w:p w14:paraId="4CFE7739" w14:textId="77777777" w:rsidR="000D5B79" w:rsidRPr="00C71EB2" w:rsidRDefault="000D5B79" w:rsidP="000D5B79">
      <w:pPr>
        <w:jc w:val="both"/>
        <w:rPr>
          <w:rFonts w:ascii="Times New Roman" w:hAnsi="Times New Roman" w:cs="Times New Roman"/>
          <w:sz w:val="24"/>
          <w:szCs w:val="24"/>
          <w:lang w:eastAsia="en-US"/>
        </w:rPr>
      </w:pPr>
    </w:p>
    <w:p w14:paraId="325E6C2C" w14:textId="12282357" w:rsidR="00774D21" w:rsidRPr="00BE4E7B" w:rsidRDefault="00B01E14" w:rsidP="000D5B79">
      <w:pPr>
        <w:jc w:val="both"/>
        <w:rPr>
          <w:rFonts w:ascii="Times New Roman" w:eastAsia="Times New Roman" w:hAnsi="Times New Roman" w:cs="Times New Roman"/>
          <w:sz w:val="24"/>
          <w:szCs w:val="24"/>
        </w:rPr>
      </w:pPr>
      <w:r>
        <w:rPr>
          <w:rFonts w:ascii="Times New Roman" w:hAnsi="Times New Roman" w:cs="Times New Roman"/>
          <w:sz w:val="24"/>
          <w:szCs w:val="24"/>
          <w:lang w:eastAsia="en-US"/>
        </w:rPr>
        <w:t xml:space="preserve">Un autre aspect à considérer est le différentiel entre taux d'inflation et taux d'intérêt bancaire en comparant la situation dans l'UEMOA et </w:t>
      </w:r>
      <w:r w:rsidR="00774D21">
        <w:rPr>
          <w:rFonts w:ascii="Times New Roman" w:hAnsi="Times New Roman" w:cs="Times New Roman"/>
          <w:sz w:val="24"/>
          <w:szCs w:val="24"/>
          <w:lang w:eastAsia="en-US"/>
        </w:rPr>
        <w:t>au</w:t>
      </w:r>
      <w:r>
        <w:rPr>
          <w:rFonts w:ascii="Times New Roman" w:hAnsi="Times New Roman" w:cs="Times New Roman"/>
          <w:sz w:val="24"/>
          <w:szCs w:val="24"/>
          <w:lang w:eastAsia="en-US"/>
        </w:rPr>
        <w:t xml:space="preserve"> Nigéria. Certes le Nigéria a des taux d'inflation très élevés, </w:t>
      </w:r>
      <w:r w:rsidR="006B02DB">
        <w:rPr>
          <w:rFonts w:ascii="Times New Roman" w:hAnsi="Times New Roman" w:cs="Times New Roman"/>
          <w:sz w:val="24"/>
          <w:szCs w:val="24"/>
          <w:lang w:eastAsia="en-US"/>
        </w:rPr>
        <w:t>de</w:t>
      </w:r>
      <w:r w:rsidR="00846828">
        <w:rPr>
          <w:rFonts w:ascii="Times New Roman" w:hAnsi="Times New Roman" w:cs="Times New Roman"/>
          <w:sz w:val="24"/>
          <w:szCs w:val="24"/>
          <w:lang w:eastAsia="en-US"/>
        </w:rPr>
        <w:t xml:space="preserve"> 16% en 2020 (1</w:t>
      </w:r>
      <w:r>
        <w:rPr>
          <w:rFonts w:ascii="Times New Roman" w:hAnsi="Times New Roman" w:cs="Times New Roman"/>
          <w:sz w:val="24"/>
          <w:szCs w:val="24"/>
          <w:lang w:eastAsia="en-US"/>
        </w:rPr>
        <w:t xml:space="preserve">8% </w:t>
      </w:r>
      <w:r w:rsidR="00846828">
        <w:rPr>
          <w:rFonts w:ascii="Times New Roman" w:hAnsi="Times New Roman" w:cs="Times New Roman"/>
          <w:sz w:val="24"/>
          <w:szCs w:val="24"/>
          <w:lang w:eastAsia="en-US"/>
        </w:rPr>
        <w:t xml:space="preserve">anticipé </w:t>
      </w:r>
      <w:r>
        <w:rPr>
          <w:rFonts w:ascii="Times New Roman" w:hAnsi="Times New Roman" w:cs="Times New Roman"/>
          <w:sz w:val="24"/>
          <w:szCs w:val="24"/>
          <w:lang w:eastAsia="en-US"/>
        </w:rPr>
        <w:t>au second trimestre 2021</w:t>
      </w:r>
      <w:r w:rsidR="00401217">
        <w:rPr>
          <w:rFonts w:ascii="Times New Roman" w:hAnsi="Times New Roman" w:cs="Times New Roman"/>
          <w:sz w:val="24"/>
          <w:szCs w:val="24"/>
          <w:lang w:eastAsia="en-US"/>
        </w:rPr>
        <w:t>, il est vrai avant la remontée des cours du pétrole</w:t>
      </w:r>
      <w:r w:rsidR="0084682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mais qui est dû essentiellement à l'insuffisance de l'offre de produits (notamment alimentaires) à la fois du fait de la production mais aussi des importations liées à la baisse des allocations de devises étrangères par la Banque centrale. Mais son taux directeur a été réduit à 11,5</w:t>
      </w:r>
      <w:r w:rsidR="00774D21">
        <w:rPr>
          <w:rFonts w:ascii="Times New Roman" w:hAnsi="Times New Roman" w:cs="Times New Roman"/>
          <w:sz w:val="24"/>
          <w:szCs w:val="24"/>
          <w:lang w:eastAsia="en-US"/>
        </w:rPr>
        <w:t xml:space="preserve">0% pour s'efforcer de booster la production, si bien que, répercuté au niveau des prêts bancaires, le taux d'intérêt réel des prêts aux entreprises est </w:t>
      </w:r>
      <w:r w:rsidR="00846828">
        <w:rPr>
          <w:rFonts w:ascii="Times New Roman" w:hAnsi="Times New Roman" w:cs="Times New Roman"/>
          <w:sz w:val="24"/>
          <w:szCs w:val="24"/>
          <w:lang w:eastAsia="en-US"/>
        </w:rPr>
        <w:t xml:space="preserve">sans doute </w:t>
      </w:r>
      <w:r w:rsidR="00774D21">
        <w:rPr>
          <w:rFonts w:ascii="Times New Roman" w:hAnsi="Times New Roman" w:cs="Times New Roman"/>
          <w:sz w:val="24"/>
          <w:szCs w:val="24"/>
          <w:lang w:eastAsia="en-US"/>
        </w:rPr>
        <w:t>p</w:t>
      </w:r>
      <w:r w:rsidR="00846828">
        <w:rPr>
          <w:rFonts w:ascii="Times New Roman" w:hAnsi="Times New Roman" w:cs="Times New Roman"/>
          <w:sz w:val="24"/>
          <w:szCs w:val="24"/>
          <w:lang w:eastAsia="en-US"/>
        </w:rPr>
        <w:t>eu éloigné</w:t>
      </w:r>
      <w:r w:rsidR="00774D21">
        <w:rPr>
          <w:rFonts w:ascii="Times New Roman" w:hAnsi="Times New Roman" w:cs="Times New Roman"/>
          <w:sz w:val="24"/>
          <w:szCs w:val="24"/>
          <w:lang w:eastAsia="en-US"/>
        </w:rPr>
        <w:t xml:space="preserve"> de zéro et </w:t>
      </w:r>
      <w:r w:rsidR="00A713E9">
        <w:rPr>
          <w:rFonts w:ascii="Times New Roman" w:hAnsi="Times New Roman" w:cs="Times New Roman"/>
          <w:sz w:val="24"/>
          <w:szCs w:val="24"/>
          <w:lang w:eastAsia="en-US"/>
        </w:rPr>
        <w:t xml:space="preserve">est </w:t>
      </w:r>
      <w:r w:rsidR="00774D21">
        <w:rPr>
          <w:rFonts w:ascii="Times New Roman" w:hAnsi="Times New Roman" w:cs="Times New Roman"/>
          <w:sz w:val="24"/>
          <w:szCs w:val="24"/>
          <w:lang w:eastAsia="en-US"/>
        </w:rPr>
        <w:t>d</w:t>
      </w:r>
      <w:r w:rsidR="00401217">
        <w:rPr>
          <w:rFonts w:ascii="Times New Roman" w:hAnsi="Times New Roman" w:cs="Times New Roman"/>
          <w:sz w:val="24"/>
          <w:szCs w:val="24"/>
          <w:lang w:eastAsia="en-US"/>
        </w:rPr>
        <w:t>u moins</w:t>
      </w:r>
      <w:r w:rsidR="00774D21">
        <w:rPr>
          <w:rFonts w:ascii="Times New Roman" w:hAnsi="Times New Roman" w:cs="Times New Roman"/>
          <w:sz w:val="24"/>
          <w:szCs w:val="24"/>
          <w:lang w:eastAsia="en-US"/>
        </w:rPr>
        <w:t xml:space="preserve"> inférieur à celui d</w:t>
      </w:r>
      <w:r w:rsidR="00846828">
        <w:rPr>
          <w:rFonts w:ascii="Times New Roman" w:hAnsi="Times New Roman" w:cs="Times New Roman"/>
          <w:sz w:val="24"/>
          <w:szCs w:val="24"/>
          <w:lang w:eastAsia="en-US"/>
        </w:rPr>
        <w:t xml:space="preserve">u Sénégal où l'inflation moyenne a été de 2,5% en 2020 </w:t>
      </w:r>
      <w:r w:rsidR="00CE6010">
        <w:rPr>
          <w:rFonts w:ascii="Times New Roman" w:hAnsi="Times New Roman" w:cs="Times New Roman"/>
          <w:sz w:val="24"/>
          <w:szCs w:val="24"/>
          <w:lang w:eastAsia="en-US"/>
        </w:rPr>
        <w:t xml:space="preserve">pour des taux </w:t>
      </w:r>
      <w:r w:rsidR="00846828">
        <w:rPr>
          <w:rFonts w:ascii="Times New Roman" w:hAnsi="Times New Roman" w:cs="Times New Roman"/>
          <w:sz w:val="24"/>
          <w:szCs w:val="24"/>
          <w:lang w:eastAsia="en-US"/>
        </w:rPr>
        <w:t xml:space="preserve">des prêts bancaires </w:t>
      </w:r>
      <w:r w:rsidR="00CE6010">
        <w:rPr>
          <w:rFonts w:ascii="Times New Roman" w:hAnsi="Times New Roman" w:cs="Times New Roman"/>
          <w:sz w:val="24"/>
          <w:szCs w:val="24"/>
          <w:lang w:eastAsia="en-US"/>
        </w:rPr>
        <w:t>de 14,31%</w:t>
      </w:r>
      <w:r w:rsidR="00846828">
        <w:rPr>
          <w:rFonts w:ascii="Times New Roman" w:hAnsi="Times New Roman" w:cs="Times New Roman"/>
          <w:sz w:val="24"/>
          <w:szCs w:val="24"/>
          <w:lang w:eastAsia="en-US"/>
        </w:rPr>
        <w:t xml:space="preserve"> </w:t>
      </w:r>
      <w:r w:rsidR="00774D2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774D21">
        <w:rPr>
          <w:rFonts w:ascii="Times New Roman" w:hAnsi="Times New Roman" w:cs="Times New Roman"/>
          <w:sz w:val="24"/>
          <w:szCs w:val="24"/>
          <w:lang w:eastAsia="en-US"/>
        </w:rPr>
        <w:t xml:space="preserve">Au point que « </w:t>
      </w:r>
      <w:r w:rsidR="00774D21" w:rsidRPr="00BE4E7B">
        <w:rPr>
          <w:rFonts w:ascii="Times New Roman" w:eastAsia="Times New Roman" w:hAnsi="Times New Roman" w:cs="Times New Roman"/>
          <w:i/>
          <w:iCs/>
          <w:sz w:val="24"/>
          <w:szCs w:val="24"/>
        </w:rPr>
        <w:t>Le niveau bas des taux d’intérêt sur les bons du Trésor du gouvernement nigérian constitue un risque pour la rentabilité des banques locales, selon Moody's</w:t>
      </w:r>
      <w:r w:rsidR="00774D21">
        <w:rPr>
          <w:rFonts w:ascii="Arial" w:eastAsia="Times New Roman" w:hAnsi="Arial" w:cs="Arial"/>
          <w:sz w:val="20"/>
          <w:szCs w:val="20"/>
        </w:rPr>
        <w:t xml:space="preserve"> »</w:t>
      </w:r>
      <w:r w:rsidR="00774D21">
        <w:rPr>
          <w:rStyle w:val="Appelnotedebasdep"/>
          <w:rFonts w:ascii="Arial" w:eastAsia="Times New Roman" w:hAnsi="Arial" w:cs="Arial"/>
          <w:sz w:val="20"/>
          <w:szCs w:val="20"/>
        </w:rPr>
        <w:footnoteReference w:id="10"/>
      </w:r>
      <w:r w:rsidR="00774D21" w:rsidRPr="00BE4E7B">
        <w:rPr>
          <w:rFonts w:ascii="Arial" w:eastAsia="Times New Roman" w:hAnsi="Arial" w:cs="Arial"/>
          <w:sz w:val="20"/>
          <w:szCs w:val="20"/>
        </w:rPr>
        <w:t xml:space="preserve">. </w:t>
      </w:r>
    </w:p>
    <w:p w14:paraId="0C9F92A7" w14:textId="69B36ABB" w:rsidR="00B01E14" w:rsidRDefault="00B01E14" w:rsidP="000D5B79">
      <w:pPr>
        <w:rPr>
          <w:rFonts w:ascii="Times New Roman" w:hAnsi="Times New Roman" w:cs="Times New Roman"/>
          <w:sz w:val="24"/>
          <w:szCs w:val="24"/>
          <w:lang w:eastAsia="en-US"/>
        </w:rPr>
      </w:pPr>
    </w:p>
    <w:p w14:paraId="23127794" w14:textId="457A3506" w:rsidR="00604669" w:rsidRPr="00C71EB2" w:rsidRDefault="00401217" w:rsidP="0060466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Certes cette feuille de route n'a pas été établie par Kako Nubukpo mais résult</w:t>
      </w:r>
      <w:r w:rsidR="00467245">
        <w:rPr>
          <w:rFonts w:ascii="Times New Roman" w:hAnsi="Times New Roman" w:cs="Times New Roman"/>
          <w:sz w:val="24"/>
          <w:szCs w:val="24"/>
          <w:lang w:eastAsia="en-US"/>
        </w:rPr>
        <w:t>e</w:t>
      </w:r>
      <w:r>
        <w:rPr>
          <w:rFonts w:ascii="Times New Roman" w:hAnsi="Times New Roman" w:cs="Times New Roman"/>
          <w:sz w:val="24"/>
          <w:szCs w:val="24"/>
          <w:lang w:eastAsia="en-US"/>
        </w:rPr>
        <w:t xml:space="preserve"> d'un consensus </w:t>
      </w:r>
      <w:r w:rsidR="00467245">
        <w:rPr>
          <w:rFonts w:ascii="Times New Roman" w:hAnsi="Times New Roman" w:cs="Times New Roman"/>
          <w:sz w:val="24"/>
          <w:szCs w:val="24"/>
          <w:lang w:eastAsia="en-US"/>
        </w:rPr>
        <w:t>d</w:t>
      </w:r>
      <w:r>
        <w:rPr>
          <w:rFonts w:ascii="Times New Roman" w:hAnsi="Times New Roman" w:cs="Times New Roman"/>
          <w:sz w:val="24"/>
          <w:szCs w:val="24"/>
          <w:lang w:eastAsia="en-US"/>
        </w:rPr>
        <w:t xml:space="preserve">es délégués des Etats-Généraux, d'où le flou des recommandations, et seul l'avenir nous dira si </w:t>
      </w:r>
      <w:r w:rsidR="00CE7B55">
        <w:rPr>
          <w:rFonts w:ascii="Times New Roman" w:hAnsi="Times New Roman" w:cs="Times New Roman"/>
          <w:sz w:val="24"/>
          <w:szCs w:val="24"/>
          <w:lang w:eastAsia="en-US"/>
        </w:rPr>
        <w:t>s</w:t>
      </w:r>
      <w:r>
        <w:rPr>
          <w:rFonts w:ascii="Times New Roman" w:hAnsi="Times New Roman" w:cs="Times New Roman"/>
          <w:sz w:val="24"/>
          <w:szCs w:val="24"/>
          <w:lang w:eastAsia="en-US"/>
        </w:rPr>
        <w:t>a double casquette – commissaire de la CEDEAO et conseiller économi</w:t>
      </w:r>
      <w:r w:rsidR="00120C61">
        <w:rPr>
          <w:rFonts w:ascii="Times New Roman" w:hAnsi="Times New Roman" w:cs="Times New Roman"/>
          <w:sz w:val="24"/>
          <w:szCs w:val="24"/>
          <w:lang w:eastAsia="en-US"/>
        </w:rPr>
        <w:t>que</w:t>
      </w:r>
      <w:r>
        <w:rPr>
          <w:rFonts w:ascii="Times New Roman" w:hAnsi="Times New Roman" w:cs="Times New Roman"/>
          <w:sz w:val="24"/>
          <w:szCs w:val="24"/>
          <w:lang w:eastAsia="en-US"/>
        </w:rPr>
        <w:t xml:space="preserve"> du Président de l'UEMOA – lui per</w:t>
      </w:r>
      <w:r w:rsidR="00CE7B55">
        <w:rPr>
          <w:rFonts w:ascii="Times New Roman" w:hAnsi="Times New Roman" w:cs="Times New Roman"/>
          <w:sz w:val="24"/>
          <w:szCs w:val="24"/>
          <w:lang w:eastAsia="en-US"/>
        </w:rPr>
        <w:t>m</w:t>
      </w:r>
      <w:r>
        <w:rPr>
          <w:rFonts w:ascii="Times New Roman" w:hAnsi="Times New Roman" w:cs="Times New Roman"/>
          <w:sz w:val="24"/>
          <w:szCs w:val="24"/>
          <w:lang w:eastAsia="en-US"/>
        </w:rPr>
        <w:t xml:space="preserve">ettra de faire évoluer la politique monétaire de </w:t>
      </w:r>
      <w:r w:rsidR="00333D46">
        <w:rPr>
          <w:rFonts w:ascii="Times New Roman" w:hAnsi="Times New Roman" w:cs="Times New Roman"/>
          <w:sz w:val="24"/>
          <w:szCs w:val="24"/>
          <w:lang w:eastAsia="en-US"/>
        </w:rPr>
        <w:t xml:space="preserve">la CEDEAO dans le sens de la souveraineté monétaire </w:t>
      </w:r>
      <w:r w:rsidR="00CE7B55">
        <w:rPr>
          <w:rFonts w:ascii="Times New Roman" w:hAnsi="Times New Roman" w:cs="Times New Roman"/>
          <w:sz w:val="24"/>
          <w:szCs w:val="24"/>
          <w:lang w:eastAsia="en-US"/>
        </w:rPr>
        <w:t xml:space="preserve">pour </w:t>
      </w:r>
      <w:r w:rsidR="00333D46">
        <w:rPr>
          <w:rFonts w:ascii="Times New Roman" w:hAnsi="Times New Roman" w:cs="Times New Roman"/>
          <w:sz w:val="24"/>
          <w:szCs w:val="24"/>
          <w:lang w:eastAsia="en-US"/>
        </w:rPr>
        <w:t>atteindre une plein</w:t>
      </w:r>
      <w:r w:rsidR="00120C61">
        <w:rPr>
          <w:rFonts w:ascii="Times New Roman" w:hAnsi="Times New Roman" w:cs="Times New Roman"/>
          <w:sz w:val="24"/>
          <w:szCs w:val="24"/>
          <w:lang w:eastAsia="en-US"/>
        </w:rPr>
        <w:t>e</w:t>
      </w:r>
      <w:r w:rsidR="00333D46">
        <w:rPr>
          <w:rFonts w:ascii="Times New Roman" w:hAnsi="Times New Roman" w:cs="Times New Roman"/>
          <w:sz w:val="24"/>
          <w:szCs w:val="24"/>
          <w:lang w:eastAsia="en-US"/>
        </w:rPr>
        <w:t xml:space="preserve"> souveraineté économique et politique. </w:t>
      </w:r>
      <w:r w:rsidR="00120C61">
        <w:rPr>
          <w:rFonts w:ascii="Times New Roman" w:hAnsi="Times New Roman" w:cs="Times New Roman"/>
          <w:sz w:val="24"/>
          <w:szCs w:val="24"/>
          <w:lang w:eastAsia="en-US"/>
        </w:rPr>
        <w:t xml:space="preserve">Il m'a dit connaitre la Théorie monétaire moderne </w:t>
      </w:r>
      <w:r w:rsidR="00940635">
        <w:rPr>
          <w:rFonts w:ascii="Times New Roman" w:hAnsi="Times New Roman" w:cs="Times New Roman"/>
          <w:sz w:val="24"/>
          <w:szCs w:val="24"/>
          <w:lang w:eastAsia="en-US"/>
        </w:rPr>
        <w:t>e</w:t>
      </w:r>
      <w:r w:rsidR="00120C61">
        <w:rPr>
          <w:rFonts w:ascii="Times New Roman" w:hAnsi="Times New Roman" w:cs="Times New Roman"/>
          <w:sz w:val="24"/>
          <w:szCs w:val="24"/>
          <w:lang w:eastAsia="en-US"/>
        </w:rPr>
        <w:t xml:space="preserve">t a lu le livre de Stéphanie Kelton (Le mythe du déficit) mais est conscient qu'il faut bien partir de l'état des </w:t>
      </w:r>
      <w:r w:rsidR="00E67EEB">
        <w:rPr>
          <w:rFonts w:ascii="Times New Roman" w:hAnsi="Times New Roman" w:cs="Times New Roman"/>
          <w:sz w:val="24"/>
          <w:szCs w:val="24"/>
          <w:lang w:eastAsia="en-US"/>
        </w:rPr>
        <w:t xml:space="preserve">analyses </w:t>
      </w:r>
      <w:r w:rsidR="00120C61">
        <w:rPr>
          <w:rFonts w:ascii="Times New Roman" w:hAnsi="Times New Roman" w:cs="Times New Roman"/>
          <w:sz w:val="24"/>
          <w:szCs w:val="24"/>
          <w:lang w:eastAsia="en-US"/>
        </w:rPr>
        <w:t>partagé</w:t>
      </w:r>
      <w:r w:rsidR="00CE7B55">
        <w:rPr>
          <w:rFonts w:ascii="Times New Roman" w:hAnsi="Times New Roman" w:cs="Times New Roman"/>
          <w:sz w:val="24"/>
          <w:szCs w:val="24"/>
          <w:lang w:eastAsia="en-US"/>
        </w:rPr>
        <w:t>es</w:t>
      </w:r>
      <w:r w:rsidR="00120C61">
        <w:rPr>
          <w:rFonts w:ascii="Times New Roman" w:hAnsi="Times New Roman" w:cs="Times New Roman"/>
          <w:sz w:val="24"/>
          <w:szCs w:val="24"/>
          <w:lang w:eastAsia="en-US"/>
        </w:rPr>
        <w:t xml:space="preserve"> par les chercheurs </w:t>
      </w:r>
      <w:r w:rsidR="00E67EEB">
        <w:rPr>
          <w:rFonts w:ascii="Times New Roman" w:hAnsi="Times New Roman" w:cs="Times New Roman"/>
          <w:sz w:val="24"/>
          <w:szCs w:val="24"/>
          <w:lang w:eastAsia="en-US"/>
        </w:rPr>
        <w:t xml:space="preserve">et </w:t>
      </w:r>
      <w:r w:rsidR="00120C61">
        <w:rPr>
          <w:rFonts w:ascii="Times New Roman" w:hAnsi="Times New Roman" w:cs="Times New Roman"/>
          <w:sz w:val="24"/>
          <w:szCs w:val="24"/>
          <w:lang w:eastAsia="en-US"/>
        </w:rPr>
        <w:t>responsable</w:t>
      </w:r>
      <w:r w:rsidR="00E67EEB">
        <w:rPr>
          <w:rFonts w:ascii="Times New Roman" w:hAnsi="Times New Roman" w:cs="Times New Roman"/>
          <w:sz w:val="24"/>
          <w:szCs w:val="24"/>
          <w:lang w:eastAsia="en-US"/>
        </w:rPr>
        <w:t>s</w:t>
      </w:r>
      <w:r w:rsidR="00120C61">
        <w:rPr>
          <w:rFonts w:ascii="Times New Roman" w:hAnsi="Times New Roman" w:cs="Times New Roman"/>
          <w:sz w:val="24"/>
          <w:szCs w:val="24"/>
          <w:lang w:eastAsia="en-US"/>
        </w:rPr>
        <w:t xml:space="preserve"> ban</w:t>
      </w:r>
      <w:r w:rsidR="00E67EEB">
        <w:rPr>
          <w:rFonts w:ascii="Times New Roman" w:hAnsi="Times New Roman" w:cs="Times New Roman"/>
          <w:sz w:val="24"/>
          <w:szCs w:val="24"/>
          <w:lang w:eastAsia="en-US"/>
        </w:rPr>
        <w:t>c</w:t>
      </w:r>
      <w:r w:rsidR="00120C61">
        <w:rPr>
          <w:rFonts w:ascii="Times New Roman" w:hAnsi="Times New Roman" w:cs="Times New Roman"/>
          <w:sz w:val="24"/>
          <w:szCs w:val="24"/>
          <w:lang w:eastAsia="en-US"/>
        </w:rPr>
        <w:t xml:space="preserve">aires </w:t>
      </w:r>
      <w:r w:rsidR="00120C61" w:rsidRPr="00CE7B55">
        <w:rPr>
          <w:rFonts w:ascii="Times New Roman" w:hAnsi="Times New Roman" w:cs="Times New Roman"/>
          <w:sz w:val="24"/>
          <w:szCs w:val="24"/>
          <w:lang w:eastAsia="en-US"/>
        </w:rPr>
        <w:t>et politiques</w:t>
      </w:r>
      <w:r w:rsidR="00940635">
        <w:rPr>
          <w:rFonts w:ascii="Times New Roman" w:hAnsi="Times New Roman" w:cs="Times New Roman"/>
          <w:sz w:val="24"/>
          <w:szCs w:val="24"/>
          <w:lang w:eastAsia="en-US"/>
        </w:rPr>
        <w:t>, ce qui est évident</w:t>
      </w:r>
      <w:r w:rsidR="00E67EEB" w:rsidRPr="00CE7B55">
        <w:rPr>
          <w:rFonts w:ascii="Times New Roman" w:hAnsi="Times New Roman" w:cs="Times New Roman"/>
          <w:sz w:val="24"/>
          <w:szCs w:val="24"/>
          <w:lang w:eastAsia="en-US"/>
        </w:rPr>
        <w:t xml:space="preserve">. </w:t>
      </w:r>
      <w:r w:rsidR="00E67EEB" w:rsidRPr="00CE7B55">
        <w:rPr>
          <w:rFonts w:ascii="Times New Roman" w:hAnsi="Times New Roman" w:cs="Times New Roman"/>
          <w:sz w:val="24"/>
          <w:szCs w:val="24"/>
          <w:lang w:eastAsia="en-US"/>
        </w:rPr>
        <w:t xml:space="preserve">J’ai suivi avec un grand intérêt l’intervention </w:t>
      </w:r>
      <w:r w:rsidR="00E67EEB" w:rsidRPr="00CE7B55">
        <w:rPr>
          <w:rFonts w:ascii="Times New Roman" w:hAnsi="Times New Roman" w:cs="Times New Roman"/>
          <w:sz w:val="24"/>
          <w:szCs w:val="24"/>
          <w:lang w:eastAsia="en-US"/>
        </w:rPr>
        <w:t xml:space="preserve">du 26 avril </w:t>
      </w:r>
      <w:r w:rsidR="00E67EEB" w:rsidRPr="00CE7B55">
        <w:rPr>
          <w:rFonts w:ascii="Times New Roman" w:hAnsi="Times New Roman" w:cs="Times New Roman"/>
          <w:sz w:val="24"/>
          <w:szCs w:val="24"/>
          <w:lang w:eastAsia="en-US"/>
        </w:rPr>
        <w:t>de Ousmane Sonko</w:t>
      </w:r>
      <w:r w:rsidR="00E67EEB" w:rsidRPr="00CE7B55">
        <w:rPr>
          <w:rFonts w:ascii="Times New Roman" w:hAnsi="Times New Roman" w:cs="Times New Roman"/>
          <w:sz w:val="24"/>
          <w:szCs w:val="24"/>
          <w:lang w:eastAsia="en-US"/>
        </w:rPr>
        <w:t xml:space="preserve">, député et candidat à la future élection présidentielle du Sénégal, </w:t>
      </w:r>
      <w:r w:rsidR="00E67EEB" w:rsidRPr="00CE7B55">
        <w:rPr>
          <w:rFonts w:ascii="Times New Roman" w:hAnsi="Times New Roman" w:cs="Times New Roman"/>
          <w:sz w:val="24"/>
          <w:szCs w:val="24"/>
          <w:lang w:eastAsia="en-US"/>
        </w:rPr>
        <w:t xml:space="preserve">qui a </w:t>
      </w:r>
      <w:r w:rsidR="00E67EEB" w:rsidRPr="00CE7B55">
        <w:rPr>
          <w:rFonts w:ascii="Times New Roman" w:hAnsi="Times New Roman" w:cs="Times New Roman"/>
          <w:sz w:val="24"/>
          <w:szCs w:val="24"/>
          <w:lang w:eastAsia="en-US"/>
        </w:rPr>
        <w:t xml:space="preserve">déclaré son intention de mettre en œuvre </w:t>
      </w:r>
      <w:r w:rsidR="00E67EEB" w:rsidRPr="00CE7B55">
        <w:rPr>
          <w:rFonts w:ascii="Times New Roman" w:hAnsi="Times New Roman" w:cs="Times New Roman"/>
          <w:sz w:val="24"/>
          <w:szCs w:val="24"/>
          <w:lang w:eastAsia="en-US"/>
        </w:rPr>
        <w:t xml:space="preserve">la Théorie monétaire moderne </w:t>
      </w:r>
      <w:r w:rsidR="00E67EEB" w:rsidRPr="00CE7B55">
        <w:rPr>
          <w:rFonts w:ascii="Times New Roman" w:hAnsi="Times New Roman" w:cs="Times New Roman"/>
          <w:sz w:val="24"/>
          <w:szCs w:val="24"/>
          <w:lang w:eastAsia="en-US"/>
        </w:rPr>
        <w:t xml:space="preserve">s'il est élu. </w:t>
      </w:r>
      <w:r w:rsidR="00467245">
        <w:rPr>
          <w:rFonts w:ascii="Times New Roman" w:hAnsi="Times New Roman" w:cs="Times New Roman"/>
          <w:sz w:val="24"/>
          <w:szCs w:val="24"/>
          <w:lang w:eastAsia="en-US"/>
        </w:rPr>
        <w:t>P</w:t>
      </w:r>
      <w:r w:rsidR="00E67EEB" w:rsidRPr="00CE7B55">
        <w:rPr>
          <w:rFonts w:ascii="Times New Roman" w:hAnsi="Times New Roman" w:cs="Times New Roman"/>
          <w:sz w:val="24"/>
          <w:szCs w:val="24"/>
          <w:lang w:eastAsia="en-US"/>
        </w:rPr>
        <w:t xml:space="preserve">uisqu'il </w:t>
      </w:r>
      <w:r w:rsidR="00E67EEB" w:rsidRPr="00CE7B55">
        <w:rPr>
          <w:rFonts w:ascii="Times New Roman" w:hAnsi="Times New Roman" w:cs="Times New Roman"/>
          <w:sz w:val="24"/>
          <w:szCs w:val="24"/>
          <w:lang w:eastAsia="en-US"/>
        </w:rPr>
        <w:t xml:space="preserve">est peu crédible de mettre en place avant longtemps un fédéralisme politique et budgétaire au niveau CEDEAO </w:t>
      </w:r>
      <w:r w:rsidR="00E67EEB" w:rsidRPr="00CE7B55">
        <w:rPr>
          <w:rFonts w:ascii="Times New Roman" w:hAnsi="Times New Roman" w:cs="Times New Roman"/>
          <w:sz w:val="24"/>
          <w:szCs w:val="24"/>
          <w:lang w:eastAsia="en-US"/>
        </w:rPr>
        <w:t>c</w:t>
      </w:r>
      <w:r w:rsidR="00E67EEB" w:rsidRPr="00CE7B55">
        <w:rPr>
          <w:rFonts w:ascii="Times New Roman" w:hAnsi="Times New Roman" w:cs="Times New Roman"/>
          <w:sz w:val="24"/>
          <w:szCs w:val="24"/>
        </w:rPr>
        <w:t>ompte tenu du poids du Nigéria,</w:t>
      </w:r>
      <w:r w:rsidR="00E67EEB" w:rsidRPr="00CE7B55">
        <w:rPr>
          <w:rFonts w:ascii="Times New Roman" w:hAnsi="Times New Roman" w:cs="Times New Roman"/>
          <w:sz w:val="24"/>
          <w:szCs w:val="24"/>
          <w:lang w:eastAsia="en-US"/>
        </w:rPr>
        <w:t xml:space="preserve"> il rejoint Ndongo </w:t>
      </w:r>
      <w:r w:rsidR="00CE7B55" w:rsidRPr="00CE7B55">
        <w:rPr>
          <w:rFonts w:ascii="Times New Roman" w:hAnsi="Times New Roman" w:cs="Times New Roman"/>
          <w:sz w:val="24"/>
          <w:szCs w:val="24"/>
          <w:lang w:eastAsia="en-US"/>
        </w:rPr>
        <w:t>Samba Sylla q</w:t>
      </w:r>
      <w:r w:rsidR="00E67EEB" w:rsidRPr="00CE7B55">
        <w:rPr>
          <w:rFonts w:ascii="Times New Roman" w:hAnsi="Times New Roman" w:cs="Times New Roman"/>
          <w:sz w:val="24"/>
          <w:szCs w:val="24"/>
          <w:lang w:eastAsia="en-US"/>
        </w:rPr>
        <w:t xml:space="preserve">u’il </w:t>
      </w:r>
      <w:r w:rsidR="00467245">
        <w:rPr>
          <w:rFonts w:ascii="Times New Roman" w:hAnsi="Times New Roman" w:cs="Times New Roman"/>
          <w:sz w:val="24"/>
          <w:szCs w:val="24"/>
          <w:lang w:eastAsia="en-US"/>
        </w:rPr>
        <w:t>vaut mieux</w:t>
      </w:r>
      <w:r w:rsidR="00E67EEB" w:rsidRPr="00CE7B55">
        <w:rPr>
          <w:rFonts w:ascii="Times New Roman" w:hAnsi="Times New Roman" w:cs="Times New Roman"/>
          <w:sz w:val="24"/>
          <w:szCs w:val="24"/>
          <w:lang w:eastAsia="en-US"/>
        </w:rPr>
        <w:t xml:space="preserve"> commencer par </w:t>
      </w:r>
      <w:r w:rsidR="00467245">
        <w:rPr>
          <w:rFonts w:ascii="Times New Roman" w:hAnsi="Times New Roman" w:cs="Times New Roman"/>
          <w:sz w:val="24"/>
          <w:szCs w:val="24"/>
          <w:lang w:eastAsia="en-US"/>
        </w:rPr>
        <w:t>une</w:t>
      </w:r>
      <w:r w:rsidR="00E67EEB" w:rsidRPr="00CE7B55">
        <w:rPr>
          <w:rFonts w:ascii="Times New Roman" w:hAnsi="Times New Roman" w:cs="Times New Roman"/>
          <w:sz w:val="24"/>
          <w:szCs w:val="24"/>
          <w:lang w:eastAsia="en-US"/>
        </w:rPr>
        <w:t xml:space="preserve"> politique monétaire nationale permettant de financer largement toutes les activités n’impliquant pas d’endettement en devises étrangères</w:t>
      </w:r>
      <w:r w:rsidR="00CE6010">
        <w:rPr>
          <w:rFonts w:ascii="Times New Roman" w:hAnsi="Times New Roman" w:cs="Times New Roman"/>
          <w:sz w:val="24"/>
          <w:szCs w:val="24"/>
          <w:lang w:eastAsia="en-US"/>
        </w:rPr>
        <w:t xml:space="preserve">. Cela serait particulièrement pertinent </w:t>
      </w:r>
      <w:r w:rsidR="00E67EEB" w:rsidRPr="00CE7B55">
        <w:rPr>
          <w:rFonts w:ascii="Times New Roman" w:hAnsi="Times New Roman" w:cs="Times New Roman"/>
          <w:sz w:val="24"/>
          <w:szCs w:val="24"/>
          <w:lang w:eastAsia="en-US"/>
        </w:rPr>
        <w:t>pour conquérir la souveraineté alimentaire</w:t>
      </w:r>
      <w:r w:rsidR="00CE7B55" w:rsidRPr="00CE7B55">
        <w:rPr>
          <w:rFonts w:ascii="Times New Roman" w:hAnsi="Times New Roman" w:cs="Times New Roman"/>
          <w:sz w:val="24"/>
          <w:szCs w:val="24"/>
          <w:lang w:eastAsia="en-US"/>
        </w:rPr>
        <w:t xml:space="preserve"> </w:t>
      </w:r>
      <w:r w:rsidR="00467245">
        <w:rPr>
          <w:rFonts w:ascii="Times New Roman" w:hAnsi="Times New Roman" w:cs="Times New Roman"/>
          <w:sz w:val="24"/>
          <w:szCs w:val="24"/>
          <w:lang w:eastAsia="en-US"/>
        </w:rPr>
        <w:t xml:space="preserve">en </w:t>
      </w:r>
      <w:r w:rsidR="00CE7B55" w:rsidRPr="00CE7B55">
        <w:rPr>
          <w:rFonts w:ascii="Times New Roman" w:hAnsi="Times New Roman" w:cs="Times New Roman"/>
          <w:sz w:val="24"/>
          <w:szCs w:val="24"/>
          <w:lang w:eastAsia="en-US"/>
        </w:rPr>
        <w:t>généralisa</w:t>
      </w:r>
      <w:r w:rsidR="00467245">
        <w:rPr>
          <w:rFonts w:ascii="Times New Roman" w:hAnsi="Times New Roman" w:cs="Times New Roman"/>
          <w:sz w:val="24"/>
          <w:szCs w:val="24"/>
          <w:lang w:eastAsia="en-US"/>
        </w:rPr>
        <w:t xml:space="preserve">nt </w:t>
      </w:r>
      <w:r w:rsidR="00CE7B55" w:rsidRPr="00CE7B55">
        <w:rPr>
          <w:rFonts w:ascii="Times New Roman" w:hAnsi="Times New Roman" w:cs="Times New Roman"/>
          <w:sz w:val="24"/>
          <w:szCs w:val="24"/>
          <w:lang w:eastAsia="en-US"/>
        </w:rPr>
        <w:t>de</w:t>
      </w:r>
      <w:r w:rsidR="00467245">
        <w:rPr>
          <w:rFonts w:ascii="Times New Roman" w:hAnsi="Times New Roman" w:cs="Times New Roman"/>
          <w:sz w:val="24"/>
          <w:szCs w:val="24"/>
          <w:lang w:eastAsia="en-US"/>
        </w:rPr>
        <w:t>s</w:t>
      </w:r>
      <w:r w:rsidR="00CE7B55" w:rsidRPr="00CE7B55">
        <w:rPr>
          <w:rFonts w:ascii="Times New Roman" w:hAnsi="Times New Roman" w:cs="Times New Roman"/>
          <w:sz w:val="24"/>
          <w:szCs w:val="24"/>
          <w:lang w:eastAsia="en-US"/>
        </w:rPr>
        <w:t xml:space="preserve"> systèmes de production agroécologiques ne nécessitant pas d'équipements et intrants importés, et la réorientation des habitudes alimentaires privilégiant les produits locaux</w:t>
      </w:r>
      <w:r w:rsidR="00E67EEB" w:rsidRPr="00CE7B55">
        <w:rPr>
          <w:rFonts w:ascii="Times New Roman" w:hAnsi="Times New Roman" w:cs="Times New Roman"/>
          <w:sz w:val="24"/>
          <w:szCs w:val="24"/>
          <w:lang w:eastAsia="en-US"/>
        </w:rPr>
        <w:t>. </w:t>
      </w:r>
      <w:r w:rsidR="00120C61">
        <w:rPr>
          <w:rFonts w:ascii="Times New Roman" w:hAnsi="Times New Roman" w:cs="Times New Roman"/>
          <w:sz w:val="24"/>
          <w:szCs w:val="24"/>
          <w:lang w:eastAsia="en-US"/>
        </w:rPr>
        <w:t xml:space="preserve">Encore </w:t>
      </w:r>
      <w:r w:rsidR="00604669">
        <w:rPr>
          <w:rFonts w:ascii="Times New Roman" w:hAnsi="Times New Roman" w:cs="Times New Roman"/>
          <w:sz w:val="24"/>
          <w:szCs w:val="24"/>
          <w:lang w:eastAsia="en-US"/>
        </w:rPr>
        <w:t>une fois</w:t>
      </w:r>
      <w:r w:rsidR="00120C61">
        <w:rPr>
          <w:rFonts w:ascii="Times New Roman" w:hAnsi="Times New Roman" w:cs="Times New Roman"/>
          <w:sz w:val="24"/>
          <w:szCs w:val="24"/>
          <w:lang w:eastAsia="en-US"/>
        </w:rPr>
        <w:t xml:space="preserve"> mes commentaires </w:t>
      </w:r>
      <w:r w:rsidR="00604669">
        <w:rPr>
          <w:rFonts w:ascii="Times New Roman" w:hAnsi="Times New Roman" w:cs="Times New Roman"/>
          <w:sz w:val="24"/>
          <w:szCs w:val="24"/>
          <w:lang w:eastAsia="en-US"/>
        </w:rPr>
        <w:t xml:space="preserve">émanent d'un non spécialiste des politiques monétaires </w:t>
      </w:r>
      <w:r w:rsidR="00120C61">
        <w:rPr>
          <w:rFonts w:ascii="Times New Roman" w:hAnsi="Times New Roman" w:cs="Times New Roman"/>
          <w:sz w:val="24"/>
          <w:szCs w:val="24"/>
          <w:lang w:eastAsia="en-US"/>
        </w:rPr>
        <w:t>(</w:t>
      </w:r>
      <w:r w:rsidR="00604669">
        <w:rPr>
          <w:rFonts w:ascii="Times New Roman" w:hAnsi="Times New Roman" w:cs="Times New Roman"/>
          <w:sz w:val="24"/>
          <w:szCs w:val="24"/>
          <w:lang w:eastAsia="en-US"/>
        </w:rPr>
        <w:t>je l'ai été un peu avant l'introduction de l'euro</w:t>
      </w:r>
      <w:r w:rsidR="00604669">
        <w:rPr>
          <w:rStyle w:val="Appelnotedebasdep"/>
          <w:rFonts w:ascii="Times New Roman" w:hAnsi="Times New Roman" w:cs="Times New Roman"/>
          <w:sz w:val="24"/>
          <w:szCs w:val="24"/>
          <w:lang w:eastAsia="en-US"/>
        </w:rPr>
        <w:footnoteReference w:id="11"/>
      </w:r>
      <w:r w:rsidR="00120C61">
        <w:rPr>
          <w:rFonts w:ascii="Times New Roman" w:hAnsi="Times New Roman" w:cs="Times New Roman"/>
          <w:sz w:val="24"/>
          <w:szCs w:val="24"/>
          <w:lang w:eastAsia="en-US"/>
        </w:rPr>
        <w:t xml:space="preserve">) et ne visent qu'à </w:t>
      </w:r>
      <w:r w:rsidR="00CE6010">
        <w:rPr>
          <w:rFonts w:ascii="Times New Roman" w:hAnsi="Times New Roman" w:cs="Times New Roman"/>
          <w:sz w:val="24"/>
          <w:szCs w:val="24"/>
          <w:lang w:eastAsia="en-US"/>
        </w:rPr>
        <w:t>susciter les vôtres</w:t>
      </w:r>
      <w:r w:rsidR="00604669">
        <w:rPr>
          <w:rFonts w:ascii="Times New Roman" w:hAnsi="Times New Roman" w:cs="Times New Roman"/>
          <w:sz w:val="24"/>
          <w:szCs w:val="24"/>
          <w:lang w:eastAsia="en-US"/>
        </w:rPr>
        <w:t xml:space="preserve">. </w:t>
      </w:r>
    </w:p>
    <w:sectPr w:rsidR="00604669" w:rsidRPr="00C71EB2" w:rsidSect="00050A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2E4F" w14:textId="77777777" w:rsidR="004172E5" w:rsidRDefault="004172E5">
      <w:r>
        <w:separator/>
      </w:r>
    </w:p>
  </w:endnote>
  <w:endnote w:type="continuationSeparator" w:id="0">
    <w:p w14:paraId="456BB10A" w14:textId="77777777" w:rsidR="004172E5" w:rsidRDefault="0041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CE04" w14:textId="77777777" w:rsidR="00E435FF" w:rsidRDefault="004172E5">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64289"/>
      <w:docPartObj>
        <w:docPartGallery w:val="Page Numbers (Bottom of Page)"/>
        <w:docPartUnique/>
      </w:docPartObj>
    </w:sdtPr>
    <w:sdtContent>
      <w:p w14:paraId="53EB9D1E" w14:textId="215A2D97" w:rsidR="00050A14" w:rsidRDefault="00050A14">
        <w:pPr>
          <w:pStyle w:val="Pieddepage"/>
          <w:jc w:val="right"/>
        </w:pPr>
        <w:r>
          <w:t xml:space="preserve">  </w:t>
        </w:r>
        <w:r>
          <w:fldChar w:fldCharType="begin"/>
        </w:r>
        <w:r>
          <w:instrText>PAGE   \* MERGEFORMAT</w:instrText>
        </w:r>
        <w:r>
          <w:fldChar w:fldCharType="separate"/>
        </w:r>
        <w:r>
          <w:t>2</w:t>
        </w:r>
        <w:r>
          <w:fldChar w:fldCharType="end"/>
        </w:r>
      </w:p>
    </w:sdtContent>
  </w:sdt>
  <w:p w14:paraId="28EF8FF8" w14:textId="77777777" w:rsidR="00E435FF" w:rsidRDefault="004172E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3398" w14:textId="77777777" w:rsidR="00E435FF" w:rsidRDefault="004172E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414B" w14:textId="77777777" w:rsidR="004172E5" w:rsidRDefault="004172E5">
      <w:r>
        <w:separator/>
      </w:r>
    </w:p>
  </w:footnote>
  <w:footnote w:type="continuationSeparator" w:id="0">
    <w:p w14:paraId="1EA57782" w14:textId="77777777" w:rsidR="004172E5" w:rsidRDefault="004172E5">
      <w:r>
        <w:continuationSeparator/>
      </w:r>
    </w:p>
  </w:footnote>
  <w:footnote w:id="1">
    <w:p w14:paraId="5A4BBAB1" w14:textId="32317050" w:rsidR="00467245" w:rsidRPr="00467245" w:rsidRDefault="00467245">
      <w:pPr>
        <w:pStyle w:val="Notedebasdepage"/>
        <w:rPr>
          <w:rFonts w:ascii="Times New Roman" w:hAnsi="Times New Roman" w:cs="Times New Roman"/>
        </w:rPr>
      </w:pPr>
      <w:r w:rsidRPr="00467245">
        <w:rPr>
          <w:rStyle w:val="Appelnotedebasdep"/>
          <w:rFonts w:ascii="Times New Roman" w:hAnsi="Times New Roman" w:cs="Times New Roman"/>
        </w:rPr>
        <w:footnoteRef/>
      </w:r>
      <w:r w:rsidRPr="00467245">
        <w:rPr>
          <w:rFonts w:ascii="Times New Roman" w:hAnsi="Times New Roman" w:cs="Times New Roman"/>
        </w:rPr>
        <w:t xml:space="preserve"> </w:t>
      </w:r>
      <w:r w:rsidRPr="00467245">
        <w:rPr>
          <w:rFonts w:ascii="Times New Roman" w:hAnsi="Times New Roman" w:cs="Times New Roman"/>
        </w:rPr>
        <w:t>https://telegramme228.com/une-feuille-de-route-pour-la.html</w:t>
      </w:r>
    </w:p>
  </w:footnote>
  <w:footnote w:id="2">
    <w:p w14:paraId="4C397756" w14:textId="19C82D94" w:rsidR="00741096" w:rsidRDefault="00741096">
      <w:pPr>
        <w:pStyle w:val="Notedebasdepage"/>
      </w:pPr>
      <w:r>
        <w:rPr>
          <w:rStyle w:val="Appelnotedebasdep"/>
        </w:rPr>
        <w:footnoteRef/>
      </w:r>
      <w:r>
        <w:t xml:space="preserve"> </w:t>
      </w:r>
      <w:hyperlink r:id="rId1" w:history="1">
        <w:r w:rsidRPr="00741096">
          <w:rPr>
            <w:rStyle w:val="Lienhypertexte"/>
            <w:rFonts w:ascii="Times New Roman" w:hAnsi="Times New Roman" w:cs="Times New Roman"/>
            <w:color w:val="auto"/>
            <w:u w:val="none"/>
            <w:lang w:eastAsia="en-US"/>
          </w:rPr>
          <w:t>https://www.federalreserve.gov/faqs/what-economic-goals-does-federal-reserve-seek-to-achieve-through-monetary-policy.htm</w:t>
        </w:r>
      </w:hyperlink>
    </w:p>
  </w:footnote>
  <w:footnote w:id="3">
    <w:p w14:paraId="10D03C6F" w14:textId="611D4137" w:rsidR="00741096" w:rsidRDefault="00741096">
      <w:pPr>
        <w:pStyle w:val="Notedebasdepage"/>
      </w:pPr>
      <w:r>
        <w:rPr>
          <w:rStyle w:val="Appelnotedebasdep"/>
        </w:rPr>
        <w:footnoteRef/>
      </w:r>
      <w:r>
        <w:t xml:space="preserve"> </w:t>
      </w:r>
      <w:hyperlink r:id="rId2" w:history="1">
        <w:r w:rsidRPr="00741096">
          <w:rPr>
            <w:rStyle w:val="Lienhypertexte"/>
            <w:rFonts w:ascii="Times New Roman" w:hAnsi="Times New Roman" w:cs="Times New Roman"/>
            <w:color w:val="auto"/>
            <w:u w:val="none"/>
            <w:lang w:eastAsia="en-US"/>
          </w:rPr>
          <w:t>https://www.nationalbanken.dk/en/about_danmarks_nationalbank/objectives/Pages/default.aspx</w:t>
        </w:r>
      </w:hyperlink>
    </w:p>
  </w:footnote>
  <w:footnote w:id="4">
    <w:p w14:paraId="3DA319B3" w14:textId="5F554742" w:rsidR="00790F16" w:rsidRDefault="00790F16">
      <w:pPr>
        <w:pStyle w:val="Notedebasdepage"/>
      </w:pPr>
      <w:r>
        <w:rPr>
          <w:rStyle w:val="Appelnotedebasdep"/>
        </w:rPr>
        <w:footnoteRef/>
      </w:r>
      <w:r>
        <w:t xml:space="preserve"> </w:t>
      </w:r>
      <w:hyperlink r:id="rId3" w:history="1">
        <w:r w:rsidRPr="00790F16">
          <w:rPr>
            <w:rStyle w:val="Lienhypertexte"/>
            <w:rFonts w:ascii="Times New Roman" w:hAnsi="Times New Roman" w:cs="Times New Roman"/>
            <w:color w:val="auto"/>
            <w:u w:val="none"/>
            <w:lang w:eastAsia="en-US"/>
          </w:rPr>
          <w:t>https://www.wto.org/french/tratop_f/tpr_f/s362-00_f.pdf</w:t>
        </w:r>
      </w:hyperlink>
    </w:p>
  </w:footnote>
  <w:footnote w:id="5">
    <w:p w14:paraId="78EE6BF6" w14:textId="7DA82983" w:rsidR="00790F16" w:rsidRDefault="00790F16">
      <w:pPr>
        <w:pStyle w:val="Notedebasdepage"/>
      </w:pPr>
      <w:r>
        <w:rPr>
          <w:rStyle w:val="Appelnotedebasdep"/>
        </w:rPr>
        <w:footnoteRef/>
      </w:r>
      <w:r>
        <w:t xml:space="preserve"> </w:t>
      </w:r>
      <w:hyperlink r:id="rId4" w:history="1">
        <w:r w:rsidRPr="00790F16">
          <w:rPr>
            <w:rStyle w:val="Lienhypertexte"/>
            <w:rFonts w:ascii="Times New Roman" w:hAnsi="Times New Roman" w:cs="Times New Roman"/>
            <w:color w:val="auto"/>
            <w:u w:val="none"/>
          </w:rPr>
          <w:t>https://www.bceao.int/sites/default/files/2020-05/Rapport%20sur%20les%20conditions%20de%20banque%20dans%20l%27UEMOA%20-%202019.pdf</w:t>
        </w:r>
      </w:hyperlink>
    </w:p>
  </w:footnote>
  <w:footnote w:id="6">
    <w:p w14:paraId="10705F1F" w14:textId="77777777" w:rsidR="00050A14" w:rsidRDefault="00050A14" w:rsidP="00050A14">
      <w:pPr>
        <w:pStyle w:val="Notedebasdepage"/>
      </w:pPr>
      <w:r>
        <w:rPr>
          <w:rStyle w:val="Appelnotedebasdep"/>
        </w:rPr>
        <w:footnoteRef/>
      </w:r>
      <w:r>
        <w:t xml:space="preserve"> </w:t>
      </w:r>
      <w:r w:rsidRPr="00C1404B">
        <w:rPr>
          <w:rFonts w:ascii="Times New Roman" w:hAnsi="Times New Roman" w:cs="Times New Roman"/>
        </w:rPr>
        <w:t>https://www.imf.org/en/Publications/CR/Issues/2021/03/02/West-African-Economic-and-Monetary-Union-Staff-Report-on-Common-Policies-for-Member-50139</w:t>
      </w:r>
    </w:p>
  </w:footnote>
  <w:footnote w:id="7">
    <w:p w14:paraId="74313716" w14:textId="065A3EAB" w:rsidR="00790F16" w:rsidRDefault="00790F16">
      <w:pPr>
        <w:pStyle w:val="Notedebasdepage"/>
      </w:pPr>
      <w:r>
        <w:rPr>
          <w:rStyle w:val="Appelnotedebasdep"/>
        </w:rPr>
        <w:footnoteRef/>
      </w:r>
      <w:r>
        <w:t xml:space="preserve"> </w:t>
      </w:r>
      <w:r w:rsidRPr="00790F16">
        <w:rPr>
          <w:rFonts w:ascii="Times New Roman" w:eastAsia="Arial" w:hAnsi="Times New Roman" w:cs="Times New Roman"/>
          <w:iCs/>
        </w:rPr>
        <w:t>https://www.bceao.int/fr/publications/rapport-sur-les-conditions-de-banque-dans-luemoa-2019</w:t>
      </w:r>
    </w:p>
  </w:footnote>
  <w:footnote w:id="8">
    <w:p w14:paraId="0379A340" w14:textId="1FE5CA3E" w:rsidR="00A713E9" w:rsidRPr="00A713E9" w:rsidRDefault="00A713E9">
      <w:pPr>
        <w:pStyle w:val="Notedebasdepage"/>
        <w:rPr>
          <w:rFonts w:ascii="Times New Roman" w:hAnsi="Times New Roman" w:cs="Times New Roman"/>
        </w:rPr>
      </w:pPr>
      <w:r w:rsidRPr="00A713E9">
        <w:rPr>
          <w:rStyle w:val="Appelnotedebasdep"/>
          <w:rFonts w:ascii="Times New Roman" w:hAnsi="Times New Roman" w:cs="Times New Roman"/>
        </w:rPr>
        <w:footnoteRef/>
      </w:r>
      <w:r w:rsidRPr="00A713E9">
        <w:rPr>
          <w:rFonts w:ascii="Times New Roman" w:hAnsi="Times New Roman" w:cs="Times New Roman"/>
        </w:rPr>
        <w:t xml:space="preserve"> </w:t>
      </w:r>
      <w:r w:rsidRPr="00A713E9">
        <w:rPr>
          <w:rFonts w:ascii="Times New Roman" w:hAnsi="Times New Roman" w:cs="Times New Roman"/>
        </w:rPr>
        <w:t>http://www.commodafrica.com/17-05-2021-lagriculture-et-le-monde-rural-seront-parmi-les-beneficiaires-de-la-levee-de-fcfa-50</w:t>
      </w:r>
    </w:p>
  </w:footnote>
  <w:footnote w:id="9">
    <w:p w14:paraId="35E2158E" w14:textId="09AEA0A3" w:rsidR="00790F16" w:rsidRDefault="00790F16">
      <w:pPr>
        <w:pStyle w:val="Notedebasdepage"/>
      </w:pPr>
      <w:r>
        <w:rPr>
          <w:rStyle w:val="Appelnotedebasdep"/>
        </w:rPr>
        <w:footnoteRef/>
      </w:r>
      <w:r>
        <w:t xml:space="preserve"> </w:t>
      </w:r>
      <w:r w:rsidRPr="00790F16">
        <w:rPr>
          <w:rFonts w:ascii="Times New Roman" w:eastAsia="Times New Roman" w:hAnsi="Times New Roman" w:cs="Times New Roman"/>
        </w:rPr>
        <w:t>https://journals.openedition.org/interventionseconomiques/5198</w:t>
      </w:r>
    </w:p>
  </w:footnote>
  <w:footnote w:id="10">
    <w:p w14:paraId="2364D4C5" w14:textId="70CE94F6" w:rsidR="00774D21" w:rsidRDefault="00774D21" w:rsidP="00604669">
      <w:r>
        <w:rPr>
          <w:rStyle w:val="Appelnotedebasdep"/>
        </w:rPr>
        <w:footnoteRef/>
      </w:r>
      <w:r>
        <w:t xml:space="preserve"> </w:t>
      </w:r>
      <w:r w:rsidRPr="00A27CA3">
        <w:rPr>
          <w:rFonts w:ascii="Times New Roman" w:hAnsi="Times New Roman" w:cs="Times New Roman"/>
          <w:sz w:val="20"/>
          <w:szCs w:val="20"/>
        </w:rPr>
        <w:t>https://www.agenceecofin.com/finance/1901-84239-au-nigeria-les-taux-d-interet-bas-sont-un-risque-pour-les-banques-selon-moody-s</w:t>
      </w:r>
    </w:p>
  </w:footnote>
  <w:footnote w:id="11">
    <w:p w14:paraId="20520D1D" w14:textId="625F3C4A" w:rsidR="00604669" w:rsidRPr="00401217" w:rsidRDefault="00604669">
      <w:pPr>
        <w:pStyle w:val="Notedebasdepage"/>
        <w:rPr>
          <w:rFonts w:ascii="Times New Roman" w:hAnsi="Times New Roman" w:cs="Times New Roman"/>
        </w:rPr>
      </w:pPr>
      <w:r w:rsidRPr="00401217">
        <w:rPr>
          <w:rStyle w:val="Appelnotedebasdep"/>
          <w:rFonts w:ascii="Times New Roman" w:hAnsi="Times New Roman" w:cs="Times New Roman"/>
        </w:rPr>
        <w:footnoteRef/>
      </w:r>
      <w:r w:rsidRPr="00401217">
        <w:rPr>
          <w:rFonts w:ascii="Times New Roman" w:hAnsi="Times New Roman" w:cs="Times New Roman"/>
        </w:rPr>
        <w:t xml:space="preserve"> </w:t>
      </w:r>
      <w:hyperlink r:id="rId5" w:history="1">
        <w:r w:rsidR="00401217" w:rsidRPr="00401217">
          <w:rPr>
            <w:rStyle w:val="Lienhypertexte"/>
            <w:rFonts w:ascii="Times New Roman" w:hAnsi="Times New Roman" w:cs="Times New Roman"/>
            <w:color w:val="auto"/>
            <w:u w:val="none"/>
          </w:rPr>
          <w:t>https://www.amazon.fr/monnaie-unique-d%C3%A9bat-Lappel-%C3%A9conomistes/dp/2841464814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1AC1" w14:textId="77777777" w:rsidR="00E435FF" w:rsidRDefault="004172E5">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498B" w14:textId="77777777" w:rsidR="00E435FF" w:rsidRDefault="004172E5">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769D" w14:textId="77777777" w:rsidR="00E435FF" w:rsidRDefault="004172E5">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4E"/>
    <w:rsid w:val="00050A14"/>
    <w:rsid w:val="000D5B79"/>
    <w:rsid w:val="00120C61"/>
    <w:rsid w:val="0020190C"/>
    <w:rsid w:val="002A5C51"/>
    <w:rsid w:val="003107A4"/>
    <w:rsid w:val="00333D46"/>
    <w:rsid w:val="003F348A"/>
    <w:rsid w:val="00401217"/>
    <w:rsid w:val="004172E5"/>
    <w:rsid w:val="00467245"/>
    <w:rsid w:val="004751D7"/>
    <w:rsid w:val="004F32ED"/>
    <w:rsid w:val="005E614E"/>
    <w:rsid w:val="00604669"/>
    <w:rsid w:val="00695AE8"/>
    <w:rsid w:val="006B02DB"/>
    <w:rsid w:val="006C4748"/>
    <w:rsid w:val="006E3540"/>
    <w:rsid w:val="00726B06"/>
    <w:rsid w:val="00741096"/>
    <w:rsid w:val="00760251"/>
    <w:rsid w:val="0076672A"/>
    <w:rsid w:val="00774D21"/>
    <w:rsid w:val="00790F16"/>
    <w:rsid w:val="007C1248"/>
    <w:rsid w:val="008106A9"/>
    <w:rsid w:val="00835F1A"/>
    <w:rsid w:val="00845DA6"/>
    <w:rsid w:val="00846828"/>
    <w:rsid w:val="00851073"/>
    <w:rsid w:val="00876128"/>
    <w:rsid w:val="008C0F22"/>
    <w:rsid w:val="008D1C9D"/>
    <w:rsid w:val="008F7BE2"/>
    <w:rsid w:val="00940635"/>
    <w:rsid w:val="00A10FA8"/>
    <w:rsid w:val="00A11247"/>
    <w:rsid w:val="00A53AC3"/>
    <w:rsid w:val="00A713E9"/>
    <w:rsid w:val="00A87D09"/>
    <w:rsid w:val="00B01E14"/>
    <w:rsid w:val="00B374B5"/>
    <w:rsid w:val="00B42B44"/>
    <w:rsid w:val="00B579D7"/>
    <w:rsid w:val="00C1404B"/>
    <w:rsid w:val="00C71EB2"/>
    <w:rsid w:val="00CE6010"/>
    <w:rsid w:val="00CE60E9"/>
    <w:rsid w:val="00CE7B55"/>
    <w:rsid w:val="00D247AF"/>
    <w:rsid w:val="00D26EA0"/>
    <w:rsid w:val="00D32379"/>
    <w:rsid w:val="00E33C86"/>
    <w:rsid w:val="00E51ABE"/>
    <w:rsid w:val="00E67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B438"/>
  <w15:chartTrackingRefBased/>
  <w15:docId w15:val="{FB1CD928-A338-4CE1-BDE6-F9ECF8A5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4E"/>
    <w:pPr>
      <w:spacing w:after="0" w:line="240" w:lineRule="auto"/>
    </w:pPr>
    <w:rPr>
      <w:rFonts w:ascii="Calibri" w:hAnsi="Calibri" w:cs="Calibri"/>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614E"/>
    <w:rPr>
      <w:color w:val="0563C1"/>
      <w:u w:val="single"/>
    </w:rPr>
  </w:style>
  <w:style w:type="character" w:styleId="Mentionnonrsolue">
    <w:name w:val="Unresolved Mention"/>
    <w:basedOn w:val="Policepardfaut"/>
    <w:uiPriority w:val="99"/>
    <w:semiHidden/>
    <w:unhideWhenUsed/>
    <w:rsid w:val="008106A9"/>
    <w:rPr>
      <w:color w:val="605E5C"/>
      <w:shd w:val="clear" w:color="auto" w:fill="E1DFDD"/>
    </w:rPr>
  </w:style>
  <w:style w:type="paragraph" w:styleId="Notedebasdepage">
    <w:name w:val="footnote text"/>
    <w:basedOn w:val="Normal"/>
    <w:link w:val="NotedebasdepageCar"/>
    <w:uiPriority w:val="99"/>
    <w:semiHidden/>
    <w:unhideWhenUsed/>
    <w:rsid w:val="00741096"/>
    <w:rPr>
      <w:sz w:val="20"/>
      <w:szCs w:val="20"/>
    </w:rPr>
  </w:style>
  <w:style w:type="character" w:customStyle="1" w:styleId="NotedebasdepageCar">
    <w:name w:val="Note de bas de page Car"/>
    <w:basedOn w:val="Policepardfaut"/>
    <w:link w:val="Notedebasdepage"/>
    <w:uiPriority w:val="99"/>
    <w:semiHidden/>
    <w:rsid w:val="00741096"/>
    <w:rPr>
      <w:rFonts w:ascii="Calibri" w:hAnsi="Calibri" w:cs="Calibri"/>
      <w:sz w:val="20"/>
      <w:szCs w:val="20"/>
      <w:lang w:eastAsia="fr-FR"/>
    </w:rPr>
  </w:style>
  <w:style w:type="character" w:styleId="Appelnotedebasdep">
    <w:name w:val="footnote reference"/>
    <w:basedOn w:val="Policepardfaut"/>
    <w:uiPriority w:val="99"/>
    <w:semiHidden/>
    <w:unhideWhenUsed/>
    <w:rsid w:val="00741096"/>
    <w:rPr>
      <w:vertAlign w:val="superscript"/>
    </w:rPr>
  </w:style>
  <w:style w:type="paragraph" w:styleId="Pieddepage">
    <w:name w:val="footer"/>
    <w:basedOn w:val="Normal"/>
    <w:link w:val="PieddepageCar"/>
    <w:uiPriority w:val="99"/>
    <w:unhideWhenUsed/>
    <w:rsid w:val="00050A14"/>
    <w:pPr>
      <w:tabs>
        <w:tab w:val="center" w:pos="4680"/>
        <w:tab w:val="right" w:pos="9360"/>
      </w:tabs>
    </w:pPr>
    <w:rPr>
      <w:rFonts w:asciiTheme="minorHAnsi" w:eastAsiaTheme="minorEastAsia" w:hAnsiTheme="minorHAnsi" w:cs="Times New Roman"/>
    </w:rPr>
  </w:style>
  <w:style w:type="character" w:customStyle="1" w:styleId="PieddepageCar">
    <w:name w:val="Pied de page Car"/>
    <w:basedOn w:val="Policepardfaut"/>
    <w:link w:val="Pieddepage"/>
    <w:uiPriority w:val="99"/>
    <w:rsid w:val="00050A14"/>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8208">
      <w:bodyDiv w:val="1"/>
      <w:marLeft w:val="0"/>
      <w:marRight w:val="0"/>
      <w:marTop w:val="0"/>
      <w:marBottom w:val="0"/>
      <w:divBdr>
        <w:top w:val="none" w:sz="0" w:space="0" w:color="auto"/>
        <w:left w:val="none" w:sz="0" w:space="0" w:color="auto"/>
        <w:bottom w:val="none" w:sz="0" w:space="0" w:color="auto"/>
        <w:right w:val="none" w:sz="0" w:space="0" w:color="auto"/>
      </w:divBdr>
    </w:div>
    <w:div w:id="714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cques.berthelot4@wanadoo.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french/tratop_f/tpr_f/s362-00_f.pdf" TargetMode="External"/><Relationship Id="rId2" Type="http://schemas.openxmlformats.org/officeDocument/2006/relationships/hyperlink" Target="https://www.nationalbanken.dk/en/about_danmarks_nationalbank/objectives/Pages/default.aspx" TargetMode="External"/><Relationship Id="rId1" Type="http://schemas.openxmlformats.org/officeDocument/2006/relationships/hyperlink" Target="https://www.federalreserve.gov/faqs/what-economic-goals-does-federal-reserve-seek-to-achieve-through-monetary-policy.htm" TargetMode="External"/><Relationship Id="rId5" Type="http://schemas.openxmlformats.org/officeDocument/2006/relationships/hyperlink" Target="https://www.amazon.fr/monnaie-unique-d%C3%A9bat-Lappel-%C3%A9conomistes/dp/2841464814" TargetMode="External"/><Relationship Id="rId4" Type="http://schemas.openxmlformats.org/officeDocument/2006/relationships/hyperlink" Target="https://www.bceao.int/sites/default/files/2020-05/Rapport%20sur%20les%20conditions%20de%20banque%20dans%20l%27UEMOA%20-%20201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71F6-9BAA-4661-A269-62E7F76D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2378</Words>
  <Characters>13084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Berthelot</dc:creator>
  <cp:keywords/>
  <dc:description/>
  <cp:lastModifiedBy>Jacques Berthelot</cp:lastModifiedBy>
  <cp:revision>4</cp:revision>
  <dcterms:created xsi:type="dcterms:W3CDTF">2021-06-03T15:38:00Z</dcterms:created>
  <dcterms:modified xsi:type="dcterms:W3CDTF">2021-06-03T17:01:00Z</dcterms:modified>
</cp:coreProperties>
</file>